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C56F4" w14:textId="77777777" w:rsidR="00090A8D" w:rsidRPr="00DA7625" w:rsidRDefault="00090A8D" w:rsidP="00090A8D">
      <w:pPr>
        <w:pStyle w:val="Heading1"/>
        <w:spacing w:before="0"/>
        <w:jc w:val="center"/>
        <w:rPr>
          <w:rFonts w:ascii="Arial" w:hAnsi="Arial" w:cs="Arial"/>
          <w:color w:val="auto"/>
          <w:sz w:val="24"/>
          <w:szCs w:val="24"/>
          <w:lang w:val="az-Latn-AZ"/>
        </w:rPr>
      </w:pPr>
      <w:bookmarkStart w:id="0" w:name="_Toc534989998"/>
      <w:bookmarkStart w:id="1" w:name="_Toc534990307"/>
      <w:bookmarkStart w:id="2" w:name="_Toc534990379"/>
      <w:bookmarkStart w:id="3" w:name="_Toc62134600"/>
      <w:r w:rsidRPr="00DA7625">
        <w:rPr>
          <w:rFonts w:ascii="Arial" w:hAnsi="Arial" w:cs="Arial"/>
          <w:color w:val="auto"/>
          <w:sz w:val="24"/>
          <w:szCs w:val="24"/>
          <w:lang w:val="az-Latn-AZ"/>
        </w:rPr>
        <w:t>2. ƏMƏK MÜNASİBƏTLƏRİNİN MONİTORİNQİ</w:t>
      </w:r>
      <w:bookmarkEnd w:id="0"/>
      <w:bookmarkEnd w:id="1"/>
      <w:bookmarkEnd w:id="2"/>
      <w:bookmarkEnd w:id="3"/>
    </w:p>
    <w:p w14:paraId="27409453" w14:textId="77777777" w:rsidR="00090A8D" w:rsidRPr="006B36B4" w:rsidRDefault="00090A8D" w:rsidP="00090A8D">
      <w:pPr>
        <w:spacing w:after="0"/>
        <w:rPr>
          <w:rFonts w:ascii="Arial" w:hAnsi="Arial" w:cs="Arial"/>
          <w:sz w:val="24"/>
          <w:szCs w:val="24"/>
          <w:lang w:val="az-Latn-AZ"/>
        </w:rPr>
      </w:pPr>
    </w:p>
    <w:p w14:paraId="73870B24" w14:textId="77777777" w:rsidR="00090A8D" w:rsidRDefault="00090A8D" w:rsidP="00090A8D">
      <w:pPr>
        <w:tabs>
          <w:tab w:val="left" w:pos="567"/>
          <w:tab w:val="left" w:pos="851"/>
        </w:tabs>
        <w:autoSpaceDE w:val="0"/>
        <w:autoSpaceDN w:val="0"/>
        <w:adjustRightInd w:val="0"/>
        <w:spacing w:after="0"/>
        <w:jc w:val="both"/>
        <w:rPr>
          <w:rFonts w:ascii="Arial" w:hAnsi="Arial" w:cs="Arial"/>
          <w:sz w:val="24"/>
          <w:szCs w:val="24"/>
          <w:lang w:val="az-Latn-AZ"/>
        </w:rPr>
      </w:pPr>
      <w:r>
        <w:rPr>
          <w:rFonts w:ascii="Arial" w:hAnsi="Arial" w:cs="Arial"/>
          <w:sz w:val="24"/>
          <w:szCs w:val="24"/>
          <w:lang w:val="az-Latn-AZ"/>
        </w:rPr>
        <w:tab/>
      </w:r>
      <w:r w:rsidRPr="00444B12">
        <w:rPr>
          <w:rFonts w:ascii="Arial" w:hAnsi="Arial" w:cs="Arial"/>
          <w:sz w:val="24"/>
          <w:szCs w:val="24"/>
          <w:lang w:val="az-Latn-AZ"/>
        </w:rPr>
        <w:t>“Tikinti sahəsində qeyri-</w:t>
      </w:r>
      <w:r>
        <w:rPr>
          <w:rFonts w:ascii="Arial" w:hAnsi="Arial" w:cs="Arial"/>
          <w:sz w:val="24"/>
          <w:szCs w:val="24"/>
          <w:lang w:val="az-Latn-AZ"/>
        </w:rPr>
        <w:t>formal</w:t>
      </w:r>
      <w:r w:rsidRPr="00444B12">
        <w:rPr>
          <w:rFonts w:ascii="Arial" w:hAnsi="Arial" w:cs="Arial"/>
          <w:sz w:val="24"/>
          <w:szCs w:val="24"/>
          <w:lang w:val="az-Latn-AZ"/>
        </w:rPr>
        <w:t xml:space="preserve"> </w:t>
      </w:r>
      <w:r w:rsidR="00064F3C">
        <w:rPr>
          <w:rFonts w:ascii="Arial" w:hAnsi="Arial" w:cs="Arial"/>
          <w:sz w:val="24"/>
          <w:szCs w:val="24"/>
          <w:lang w:val="az-Latn-AZ"/>
        </w:rPr>
        <w:t xml:space="preserve">məşğulluğun </w:t>
      </w:r>
      <w:r w:rsidRPr="00444B12">
        <w:rPr>
          <w:rFonts w:ascii="Arial" w:hAnsi="Arial" w:cs="Arial"/>
          <w:sz w:val="24"/>
          <w:szCs w:val="24"/>
          <w:lang w:val="az-Latn-AZ"/>
        </w:rPr>
        <w:t>qarşısının alınması ilə bağlı nəzarətin gücləndirilməsinə dair tədbirlər haqqında” Azərbaycan Respublikası Prezidentinin 2017-ci il 28 aprel tarixli 1349 nömrəli Fərmanının icrası ilə əlaqədar</w:t>
      </w:r>
      <w:r>
        <w:rPr>
          <w:rFonts w:ascii="Arial" w:hAnsi="Arial" w:cs="Arial"/>
          <w:sz w:val="24"/>
          <w:szCs w:val="24"/>
          <w:lang w:val="az-Latn-AZ"/>
        </w:rPr>
        <w:t xml:space="preserve"> yaradılmış və əsas məqsədi </w:t>
      </w:r>
      <w:r w:rsidRPr="00444B12">
        <w:rPr>
          <w:rFonts w:ascii="Arial" w:hAnsi="Arial" w:cs="Arial"/>
          <w:sz w:val="24"/>
          <w:szCs w:val="24"/>
          <w:lang w:val="az-Latn-AZ"/>
        </w:rPr>
        <w:t>Bakı şəhərində tikilməkdə olan çoxmənzi</w:t>
      </w:r>
      <w:r>
        <w:rPr>
          <w:rFonts w:ascii="Arial" w:hAnsi="Arial" w:cs="Arial"/>
          <w:sz w:val="24"/>
          <w:szCs w:val="24"/>
          <w:lang w:val="az-Latn-AZ"/>
        </w:rPr>
        <w:t xml:space="preserve">lli yaşayış binalarında (bundan </w:t>
      </w:r>
      <w:r w:rsidRPr="00444B12">
        <w:rPr>
          <w:rFonts w:ascii="Arial" w:hAnsi="Arial" w:cs="Arial"/>
          <w:sz w:val="24"/>
          <w:szCs w:val="24"/>
          <w:lang w:val="az-Latn-AZ"/>
        </w:rPr>
        <w:t>sonra – tikinti obyektləri) qeyri-</w:t>
      </w:r>
      <w:r>
        <w:rPr>
          <w:rFonts w:ascii="Arial" w:hAnsi="Arial" w:cs="Arial"/>
          <w:sz w:val="24"/>
          <w:szCs w:val="24"/>
          <w:lang w:val="az-Latn-AZ"/>
        </w:rPr>
        <w:t>formal</w:t>
      </w:r>
      <w:r w:rsidRPr="006B36B4">
        <w:rPr>
          <w:rFonts w:ascii="Arial" w:hAnsi="Arial" w:cs="Arial"/>
          <w:sz w:val="24"/>
          <w:szCs w:val="24"/>
          <w:lang w:val="az-Latn-AZ"/>
        </w:rPr>
        <w:t xml:space="preserve"> </w:t>
      </w:r>
      <w:r w:rsidR="00D33217">
        <w:rPr>
          <w:rFonts w:ascii="Arial" w:hAnsi="Arial" w:cs="Arial"/>
          <w:sz w:val="24"/>
          <w:szCs w:val="24"/>
          <w:lang w:val="az-Latn-AZ"/>
        </w:rPr>
        <w:t>məşğulluğun</w:t>
      </w:r>
      <w:r w:rsidRPr="00444B12">
        <w:rPr>
          <w:rFonts w:ascii="Arial" w:hAnsi="Arial" w:cs="Arial"/>
          <w:sz w:val="24"/>
          <w:szCs w:val="24"/>
          <w:lang w:val="az-Latn-AZ"/>
        </w:rPr>
        <w:t xml:space="preserve"> qarşısının alınması sahəsində monitorinqlərin həyata keçirilməsi</w:t>
      </w:r>
      <w:r>
        <w:rPr>
          <w:rFonts w:ascii="Arial" w:hAnsi="Arial" w:cs="Arial"/>
          <w:sz w:val="24"/>
          <w:szCs w:val="24"/>
          <w:lang w:val="az-Latn-AZ"/>
        </w:rPr>
        <w:t>ndən</w:t>
      </w:r>
      <w:r w:rsidRPr="00444B12">
        <w:rPr>
          <w:rFonts w:ascii="Arial" w:hAnsi="Arial" w:cs="Arial"/>
          <w:sz w:val="24"/>
          <w:szCs w:val="24"/>
          <w:lang w:val="az-Latn-AZ"/>
        </w:rPr>
        <w:t xml:space="preserve"> və nəzarət fəaliyyətinin əlaqələndirilməsindən ibarət</w:t>
      </w:r>
      <w:r>
        <w:rPr>
          <w:rFonts w:ascii="Arial" w:hAnsi="Arial" w:cs="Arial"/>
          <w:sz w:val="24"/>
          <w:szCs w:val="24"/>
          <w:lang w:val="az-Latn-AZ"/>
        </w:rPr>
        <w:t xml:space="preserve"> olan</w:t>
      </w:r>
      <w:r w:rsidRPr="00444B12">
        <w:rPr>
          <w:rFonts w:ascii="Arial" w:hAnsi="Arial" w:cs="Arial"/>
          <w:sz w:val="24"/>
          <w:szCs w:val="24"/>
          <w:lang w:val="az-Latn-AZ"/>
        </w:rPr>
        <w:t xml:space="preserve"> Dövlət Agentliyinin Əmək Münasibətlərinin Monitorinqi Mərkəzi</w:t>
      </w:r>
      <w:r w:rsidR="00416156">
        <w:rPr>
          <w:rFonts w:ascii="Arial" w:hAnsi="Arial" w:cs="Arial"/>
          <w:sz w:val="24"/>
          <w:szCs w:val="24"/>
          <w:lang w:val="az-Latn-AZ"/>
        </w:rPr>
        <w:t xml:space="preserve"> şöbəsi</w:t>
      </w:r>
      <w:r w:rsidRPr="00444B12">
        <w:rPr>
          <w:rFonts w:ascii="Arial" w:hAnsi="Arial" w:cs="Arial"/>
          <w:sz w:val="24"/>
          <w:szCs w:val="24"/>
          <w:lang w:val="az-Latn-AZ"/>
        </w:rPr>
        <w:t xml:space="preserve"> (bundan sonra – Monitorinq Mərkəzi)</w:t>
      </w:r>
      <w:r>
        <w:rPr>
          <w:rFonts w:ascii="Arial" w:hAnsi="Arial" w:cs="Arial"/>
          <w:sz w:val="24"/>
          <w:szCs w:val="24"/>
          <w:lang w:val="az-Latn-AZ"/>
        </w:rPr>
        <w:t xml:space="preserve"> tərəfindən</w:t>
      </w:r>
      <w:r w:rsidRPr="00444B12">
        <w:rPr>
          <w:rFonts w:ascii="Arial" w:hAnsi="Arial" w:cs="Arial"/>
          <w:sz w:val="24"/>
          <w:szCs w:val="24"/>
          <w:lang w:val="az-Latn-AZ"/>
        </w:rPr>
        <w:t xml:space="preserve"> </w:t>
      </w:r>
      <w:r>
        <w:rPr>
          <w:rFonts w:ascii="Arial" w:hAnsi="Arial" w:cs="Arial"/>
          <w:sz w:val="24"/>
          <w:szCs w:val="24"/>
          <w:lang w:val="az-Latn-AZ"/>
        </w:rPr>
        <w:t>h</w:t>
      </w:r>
      <w:r w:rsidRPr="0012304C">
        <w:rPr>
          <w:rFonts w:ascii="Arial" w:hAnsi="Arial" w:cs="Arial"/>
          <w:sz w:val="24"/>
          <w:szCs w:val="24"/>
          <w:lang w:val="az-Latn-AZ"/>
        </w:rPr>
        <w:t>esabat ilində tikinti obyektlərində əmək münasibətlərinin tənzimlənməsi ilə bağlı</w:t>
      </w:r>
      <w:r w:rsidR="006257B6">
        <w:rPr>
          <w:rFonts w:ascii="Arial" w:hAnsi="Arial" w:cs="Arial"/>
          <w:sz w:val="24"/>
          <w:szCs w:val="24"/>
          <w:lang w:val="az-Latn-AZ"/>
        </w:rPr>
        <w:t xml:space="preserve"> 5</w:t>
      </w:r>
      <w:r w:rsidR="008673DF">
        <w:rPr>
          <w:rFonts w:ascii="Arial" w:hAnsi="Arial" w:cs="Arial"/>
          <w:sz w:val="24"/>
          <w:szCs w:val="24"/>
          <w:lang w:val="az-Latn-AZ"/>
        </w:rPr>
        <w:t>5</w:t>
      </w:r>
      <w:r w:rsidRPr="0012304C">
        <w:rPr>
          <w:rFonts w:ascii="Arial" w:hAnsi="Arial" w:cs="Arial"/>
          <w:sz w:val="24"/>
          <w:szCs w:val="24"/>
          <w:lang w:val="az-Latn-AZ"/>
        </w:rPr>
        <w:t xml:space="preserve"> monitorinq həyata keçirilmiş və bunlardan </w:t>
      </w:r>
      <w:r w:rsidR="006257B6">
        <w:rPr>
          <w:rFonts w:ascii="Arial" w:hAnsi="Arial" w:cs="Arial"/>
          <w:sz w:val="24"/>
          <w:szCs w:val="24"/>
          <w:lang w:val="az-Latn-AZ"/>
        </w:rPr>
        <w:t>23</w:t>
      </w:r>
      <w:r w:rsidRPr="0012304C">
        <w:rPr>
          <w:rFonts w:ascii="Arial" w:hAnsi="Arial" w:cs="Arial"/>
          <w:sz w:val="24"/>
          <w:szCs w:val="24"/>
          <w:lang w:val="az-Latn-AZ"/>
        </w:rPr>
        <w:t xml:space="preserve"> monitorinqdə pozuntu halı aşkar edilmişdir.</w:t>
      </w:r>
    </w:p>
    <w:p w14:paraId="1EC35FDD" w14:textId="77777777" w:rsidR="00090A8D" w:rsidRDefault="00090A8D" w:rsidP="00090A8D">
      <w:pPr>
        <w:tabs>
          <w:tab w:val="left" w:pos="567"/>
          <w:tab w:val="left" w:pos="851"/>
        </w:tabs>
        <w:autoSpaceDE w:val="0"/>
        <w:autoSpaceDN w:val="0"/>
        <w:adjustRightInd w:val="0"/>
        <w:spacing w:after="0"/>
        <w:ind w:firstLine="576"/>
        <w:jc w:val="both"/>
        <w:rPr>
          <w:rFonts w:ascii="Arial" w:hAnsi="Arial" w:cs="Arial"/>
          <w:sz w:val="24"/>
          <w:szCs w:val="24"/>
          <w:lang w:val="az-Latn-AZ"/>
        </w:rPr>
      </w:pPr>
      <w:r w:rsidRPr="006B36B4">
        <w:rPr>
          <w:rFonts w:ascii="Arial" w:hAnsi="Arial" w:cs="Arial"/>
          <w:sz w:val="24"/>
          <w:szCs w:val="24"/>
          <w:lang w:val="az-Latn-AZ"/>
        </w:rPr>
        <w:t xml:space="preserve">Monitorinqlər zamanı </w:t>
      </w:r>
      <w:r w:rsidR="00007D49">
        <w:rPr>
          <w:rFonts w:ascii="Arial" w:hAnsi="Arial" w:cs="Arial"/>
          <w:sz w:val="24"/>
          <w:szCs w:val="24"/>
          <w:lang w:val="az-Latn-AZ"/>
        </w:rPr>
        <w:t>526</w:t>
      </w:r>
      <w:r w:rsidRPr="006B36B4">
        <w:rPr>
          <w:rFonts w:ascii="Arial" w:hAnsi="Arial" w:cs="Arial"/>
          <w:sz w:val="24"/>
          <w:szCs w:val="24"/>
          <w:lang w:val="az-Latn-AZ"/>
        </w:rPr>
        <w:t xml:space="preserve"> nəfər </w:t>
      </w:r>
      <w:r>
        <w:rPr>
          <w:rFonts w:ascii="Arial" w:hAnsi="Arial" w:cs="Arial"/>
          <w:sz w:val="24"/>
          <w:szCs w:val="24"/>
          <w:lang w:val="az-Latn-AZ"/>
        </w:rPr>
        <w:t xml:space="preserve">işçi </w:t>
      </w:r>
      <w:r w:rsidRPr="006B36B4">
        <w:rPr>
          <w:rFonts w:ascii="Arial" w:hAnsi="Arial" w:cs="Arial"/>
          <w:sz w:val="24"/>
          <w:szCs w:val="24"/>
          <w:lang w:val="az-Latn-AZ"/>
        </w:rPr>
        <w:t xml:space="preserve">yoxlanılmış və bu işçilərdən </w:t>
      </w:r>
      <w:r w:rsidR="00007D49">
        <w:rPr>
          <w:rFonts w:ascii="Arial" w:hAnsi="Arial" w:cs="Arial"/>
          <w:sz w:val="24"/>
          <w:szCs w:val="24"/>
          <w:lang w:val="az-Latn-AZ"/>
        </w:rPr>
        <w:t>14</w:t>
      </w:r>
      <w:r w:rsidRPr="006B36B4">
        <w:rPr>
          <w:rFonts w:ascii="Arial" w:hAnsi="Arial" w:cs="Arial"/>
          <w:sz w:val="24"/>
          <w:szCs w:val="24"/>
          <w:lang w:val="az-Latn-AZ"/>
        </w:rPr>
        <w:t xml:space="preserve"> nəfərin əmək və ya xidməti (mülki) müqavilə olmadan çalışdığı aşkar edilmişdir. Monitorinq olunmuş </w:t>
      </w:r>
      <w:r w:rsidRPr="00316ECA">
        <w:rPr>
          <w:rFonts w:ascii="Arial" w:hAnsi="Arial" w:cs="Arial"/>
          <w:sz w:val="24"/>
          <w:szCs w:val="24"/>
          <w:lang w:val="az-Latn-AZ"/>
        </w:rPr>
        <w:t>işəgötürənlər üzrə qeyri-formal məşğulluq səviyyə</w:t>
      </w:r>
      <w:r w:rsidR="006257B6" w:rsidRPr="00316ECA">
        <w:rPr>
          <w:rFonts w:ascii="Arial" w:hAnsi="Arial" w:cs="Arial"/>
          <w:sz w:val="24"/>
          <w:szCs w:val="24"/>
          <w:lang w:val="az-Latn-AZ"/>
        </w:rPr>
        <w:t>si 4.9</w:t>
      </w:r>
      <w:r w:rsidRPr="00316ECA">
        <w:rPr>
          <w:rFonts w:ascii="Arial" w:hAnsi="Arial" w:cs="Arial"/>
          <w:sz w:val="24"/>
          <w:szCs w:val="24"/>
          <w:lang w:val="az-Latn-AZ"/>
        </w:rPr>
        <w:t>% olmuşdur. Müqavilə ilə çalışan</w:t>
      </w:r>
      <w:r w:rsidR="006257B6" w:rsidRPr="00316ECA">
        <w:rPr>
          <w:rFonts w:ascii="Arial" w:hAnsi="Arial" w:cs="Arial"/>
          <w:sz w:val="24"/>
          <w:szCs w:val="24"/>
          <w:lang w:val="az-Latn-AZ"/>
        </w:rPr>
        <w:t xml:space="preserve"> 1450</w:t>
      </w:r>
      <w:r w:rsidRPr="00316ECA">
        <w:rPr>
          <w:rFonts w:ascii="Arial" w:hAnsi="Arial" w:cs="Arial"/>
          <w:sz w:val="24"/>
          <w:szCs w:val="24"/>
          <w:lang w:val="az-Latn-AZ"/>
        </w:rPr>
        <w:t xml:space="preserve"> işçidən </w:t>
      </w:r>
      <w:r w:rsidR="0011371F" w:rsidRPr="00316ECA">
        <w:rPr>
          <w:rFonts w:ascii="Arial" w:hAnsi="Arial" w:cs="Arial"/>
          <w:sz w:val="24"/>
          <w:szCs w:val="24"/>
          <w:lang w:val="az-Latn-AZ"/>
        </w:rPr>
        <w:t>1</w:t>
      </w:r>
      <w:r w:rsidR="006257B6" w:rsidRPr="00316ECA">
        <w:rPr>
          <w:rFonts w:ascii="Arial" w:hAnsi="Arial" w:cs="Arial"/>
          <w:sz w:val="24"/>
          <w:szCs w:val="24"/>
          <w:lang w:val="az-Latn-AZ"/>
        </w:rPr>
        <w:t>2</w:t>
      </w:r>
      <w:r w:rsidRPr="00316ECA">
        <w:rPr>
          <w:rFonts w:ascii="Arial" w:hAnsi="Arial" w:cs="Arial"/>
          <w:sz w:val="24"/>
          <w:szCs w:val="24"/>
          <w:lang w:val="az-Latn-AZ"/>
        </w:rPr>
        <w:t xml:space="preserve"> nəfərin işəgötürənlə əmək münasibətinin</w:t>
      </w:r>
      <w:bookmarkStart w:id="4" w:name="_GoBack"/>
      <w:bookmarkEnd w:id="4"/>
      <w:r w:rsidRPr="00316ECA">
        <w:rPr>
          <w:rFonts w:ascii="Arial" w:hAnsi="Arial" w:cs="Arial"/>
          <w:sz w:val="24"/>
          <w:szCs w:val="24"/>
          <w:lang w:val="az-Latn-AZ"/>
        </w:rPr>
        <w:t xml:space="preserve"> xidməti (mülki) müqavilə əsasında rəsmiləşdirildiyi aşkar edilmişdir. Yoxlanılmış işçilərin </w:t>
      </w:r>
      <w:r w:rsidR="006257B6" w:rsidRPr="00316ECA">
        <w:rPr>
          <w:rFonts w:ascii="Arial" w:hAnsi="Arial" w:cs="Arial"/>
          <w:sz w:val="24"/>
          <w:szCs w:val="24"/>
          <w:lang w:val="az-Latn-AZ"/>
        </w:rPr>
        <w:t>156</w:t>
      </w:r>
      <w:r w:rsidRPr="00316ECA">
        <w:rPr>
          <w:rFonts w:ascii="Arial" w:hAnsi="Arial" w:cs="Arial"/>
          <w:sz w:val="24"/>
          <w:szCs w:val="24"/>
          <w:lang w:val="az-Latn-AZ"/>
        </w:rPr>
        <w:t xml:space="preserve"> hüquqi və fiziki şəxsi təmsil etdiyi müəyyən olunmuşdur.</w:t>
      </w:r>
    </w:p>
    <w:p w14:paraId="48415775" w14:textId="77777777" w:rsidR="00090A8D" w:rsidRDefault="00090A8D" w:rsidP="00090A8D">
      <w:pPr>
        <w:tabs>
          <w:tab w:val="left" w:pos="567"/>
          <w:tab w:val="left" w:pos="851"/>
        </w:tabs>
        <w:autoSpaceDE w:val="0"/>
        <w:autoSpaceDN w:val="0"/>
        <w:adjustRightInd w:val="0"/>
        <w:spacing w:after="0"/>
        <w:ind w:firstLine="576"/>
        <w:jc w:val="both"/>
        <w:rPr>
          <w:rFonts w:ascii="Arial" w:hAnsi="Arial" w:cs="Arial"/>
          <w:b/>
          <w:bCs/>
          <w:sz w:val="24"/>
          <w:szCs w:val="24"/>
          <w:lang w:val="az-Latn-AZ"/>
        </w:rPr>
      </w:pPr>
    </w:p>
    <w:p w14:paraId="0DC509DC" w14:textId="77777777" w:rsidR="00090A8D" w:rsidRPr="00EE3ECA" w:rsidRDefault="00090A8D" w:rsidP="00090A8D">
      <w:pPr>
        <w:tabs>
          <w:tab w:val="left" w:pos="567"/>
          <w:tab w:val="left" w:pos="851"/>
        </w:tabs>
        <w:autoSpaceDE w:val="0"/>
        <w:autoSpaceDN w:val="0"/>
        <w:adjustRightInd w:val="0"/>
        <w:spacing w:after="0"/>
        <w:jc w:val="center"/>
        <w:rPr>
          <w:rFonts w:ascii="Arial" w:hAnsi="Arial" w:cs="Arial"/>
          <w:sz w:val="24"/>
          <w:szCs w:val="24"/>
          <w:lang w:val="az-Latn-AZ"/>
        </w:rPr>
      </w:pPr>
      <w:r w:rsidRPr="00EE3ECA">
        <w:rPr>
          <w:rFonts w:ascii="Arial" w:hAnsi="Arial" w:cs="Arial"/>
          <w:b/>
          <w:bCs/>
          <w:sz w:val="24"/>
          <w:szCs w:val="24"/>
          <w:lang w:val="az-Latn-AZ"/>
        </w:rPr>
        <w:t>Yoxlanılmış işçilərin müqavilə statusu üzrə bölgüsü</w:t>
      </w:r>
    </w:p>
    <w:p w14:paraId="5B17F50B" w14:textId="77777777" w:rsidR="00090A8D" w:rsidRPr="003347DE" w:rsidRDefault="00090A8D" w:rsidP="00090A8D">
      <w:pPr>
        <w:tabs>
          <w:tab w:val="left" w:pos="567"/>
          <w:tab w:val="left" w:pos="851"/>
        </w:tabs>
        <w:autoSpaceDE w:val="0"/>
        <w:autoSpaceDN w:val="0"/>
        <w:adjustRightInd w:val="0"/>
        <w:spacing w:after="120"/>
        <w:ind w:firstLine="576"/>
        <w:jc w:val="both"/>
        <w:rPr>
          <w:rFonts w:ascii="Arial" w:hAnsi="Arial" w:cs="Arial"/>
          <w:sz w:val="24"/>
          <w:szCs w:val="24"/>
        </w:rPr>
      </w:pPr>
      <w:r w:rsidRPr="006B36B4">
        <w:rPr>
          <w:rFonts w:ascii="Arial" w:hAnsi="Arial" w:cs="Arial"/>
          <w:noProof/>
          <w:sz w:val="24"/>
          <w:szCs w:val="24"/>
        </w:rPr>
        <w:drawing>
          <wp:inline distT="0" distB="0" distL="0" distR="0" wp14:anchorId="3453B4A4" wp14:editId="0A45D3D2">
            <wp:extent cx="5695950" cy="20193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2082B5" w14:textId="77777777" w:rsidR="00090A8D" w:rsidRPr="006B36B4" w:rsidRDefault="00090A8D" w:rsidP="00090A8D">
      <w:pPr>
        <w:tabs>
          <w:tab w:val="left" w:pos="567"/>
          <w:tab w:val="left" w:pos="851"/>
        </w:tabs>
        <w:autoSpaceDE w:val="0"/>
        <w:autoSpaceDN w:val="0"/>
        <w:adjustRightInd w:val="0"/>
        <w:spacing w:after="120"/>
        <w:jc w:val="center"/>
        <w:rPr>
          <w:rFonts w:ascii="Arial" w:hAnsi="Arial" w:cs="Arial"/>
          <w:sz w:val="24"/>
          <w:szCs w:val="24"/>
          <w:lang w:val="az-Latn-AZ"/>
        </w:rPr>
      </w:pPr>
    </w:p>
    <w:p w14:paraId="1743402F" w14:textId="77777777" w:rsidR="00090A8D" w:rsidRDefault="00090A8D" w:rsidP="00090A8D">
      <w:pPr>
        <w:tabs>
          <w:tab w:val="left" w:pos="567"/>
          <w:tab w:val="left" w:pos="851"/>
        </w:tabs>
        <w:autoSpaceDE w:val="0"/>
        <w:autoSpaceDN w:val="0"/>
        <w:adjustRightInd w:val="0"/>
        <w:spacing w:after="0"/>
        <w:ind w:firstLine="576"/>
        <w:jc w:val="both"/>
        <w:rPr>
          <w:rFonts w:ascii="Arial" w:hAnsi="Arial" w:cs="Arial"/>
          <w:sz w:val="24"/>
          <w:szCs w:val="24"/>
          <w:lang w:val="az-Latn-AZ"/>
        </w:rPr>
      </w:pPr>
      <w:r w:rsidRPr="002941F6">
        <w:rPr>
          <w:rFonts w:ascii="Arial" w:hAnsi="Arial" w:cs="Arial"/>
          <w:sz w:val="24"/>
          <w:szCs w:val="24"/>
          <w:lang w:val="az-Latn-AZ"/>
        </w:rPr>
        <w:t>Dövlət Agentliyi tərəfindən həyata keçirilən nəzarət tədbirləri nəticəsində Bakı şəhərinin tikinti sektorunda əmək münasibətlə</w:t>
      </w:r>
      <w:r w:rsidR="00DA47C3">
        <w:rPr>
          <w:rFonts w:ascii="Arial" w:hAnsi="Arial" w:cs="Arial"/>
          <w:sz w:val="24"/>
          <w:szCs w:val="24"/>
          <w:lang w:val="az-Latn-AZ"/>
        </w:rPr>
        <w:t xml:space="preserve">rinin </w:t>
      </w:r>
      <w:r w:rsidRPr="002941F6">
        <w:rPr>
          <w:rFonts w:ascii="Arial" w:hAnsi="Arial" w:cs="Arial"/>
          <w:sz w:val="24"/>
          <w:szCs w:val="24"/>
          <w:lang w:val="az-Latn-AZ"/>
        </w:rPr>
        <w:t xml:space="preserve">rəsmiləşdirilməsi sahəsində müsbət dəyişikliklər müşahidə edilməkdədir. Belə ki, monitorinqlər keçirilməyə başlanıldığı dövrdə tikinti obyektlərinin </w:t>
      </w:r>
      <w:r w:rsidRPr="006B36B4">
        <w:rPr>
          <w:rFonts w:ascii="Arial" w:hAnsi="Arial" w:cs="Arial"/>
          <w:sz w:val="24"/>
          <w:szCs w:val="24"/>
          <w:lang w:val="az-Latn-AZ"/>
        </w:rPr>
        <w:t>inşası ilə məşğul olan işçilərin tə</w:t>
      </w:r>
      <w:r w:rsidR="006257B6">
        <w:rPr>
          <w:rFonts w:ascii="Arial" w:hAnsi="Arial" w:cs="Arial"/>
          <w:sz w:val="24"/>
          <w:szCs w:val="24"/>
          <w:lang w:val="az-Latn-AZ"/>
        </w:rPr>
        <w:t>qribi olaraq 29</w:t>
      </w:r>
      <w:r w:rsidR="00340555">
        <w:rPr>
          <w:rFonts w:ascii="Arial" w:hAnsi="Arial" w:cs="Arial"/>
          <w:sz w:val="24"/>
          <w:szCs w:val="24"/>
          <w:lang w:val="az-Latn-AZ"/>
        </w:rPr>
        <w:t>.9</w:t>
      </w:r>
      <w:r w:rsidRPr="006B36B4">
        <w:rPr>
          <w:rFonts w:ascii="Arial" w:hAnsi="Arial" w:cs="Arial"/>
          <w:sz w:val="24"/>
          <w:szCs w:val="24"/>
          <w:lang w:val="az-Latn-AZ"/>
        </w:rPr>
        <w:t xml:space="preserve">%-i </w:t>
      </w:r>
      <w:r>
        <w:rPr>
          <w:rFonts w:ascii="Arial" w:hAnsi="Arial" w:cs="Arial"/>
          <w:sz w:val="24"/>
          <w:szCs w:val="24"/>
          <w:lang w:val="az-Latn-AZ"/>
        </w:rPr>
        <w:t>əmək müqaviləsi bağlanmadan</w:t>
      </w:r>
      <w:r w:rsidRPr="006B36B4">
        <w:rPr>
          <w:rFonts w:ascii="Arial" w:hAnsi="Arial" w:cs="Arial"/>
          <w:sz w:val="24"/>
          <w:szCs w:val="24"/>
          <w:lang w:val="az-Latn-AZ"/>
        </w:rPr>
        <w:t xml:space="preserve"> çalışırdısa, hazırda bu göstə</w:t>
      </w:r>
      <w:r w:rsidR="009802C6">
        <w:rPr>
          <w:rFonts w:ascii="Arial" w:hAnsi="Arial" w:cs="Arial"/>
          <w:sz w:val="24"/>
          <w:szCs w:val="24"/>
          <w:lang w:val="az-Latn-AZ"/>
        </w:rPr>
        <w:t xml:space="preserve">rici </w:t>
      </w:r>
      <w:r w:rsidR="00340555">
        <w:rPr>
          <w:rFonts w:ascii="Arial" w:hAnsi="Arial" w:cs="Arial"/>
          <w:sz w:val="24"/>
          <w:szCs w:val="24"/>
          <w:lang w:val="az-Latn-AZ"/>
        </w:rPr>
        <w:t>6.6</w:t>
      </w:r>
      <w:r w:rsidRPr="002941F6">
        <w:rPr>
          <w:rFonts w:ascii="Arial" w:hAnsi="Arial" w:cs="Arial"/>
          <w:sz w:val="24"/>
          <w:szCs w:val="24"/>
          <w:lang w:val="az-Latn-AZ"/>
        </w:rPr>
        <w:t>%-ə</w:t>
      </w:r>
      <w:r w:rsidRPr="006B36B4">
        <w:rPr>
          <w:rFonts w:ascii="Arial" w:hAnsi="Arial" w:cs="Arial"/>
          <w:sz w:val="24"/>
          <w:szCs w:val="24"/>
          <w:lang w:val="az-Latn-AZ"/>
        </w:rPr>
        <w:t xml:space="preserve"> qədər azalmışdır. </w:t>
      </w:r>
      <w:r>
        <w:rPr>
          <w:rFonts w:ascii="Arial" w:hAnsi="Arial" w:cs="Arial"/>
          <w:sz w:val="24"/>
          <w:szCs w:val="24"/>
          <w:lang w:val="az-Latn-AZ"/>
        </w:rPr>
        <w:t xml:space="preserve">  </w:t>
      </w:r>
    </w:p>
    <w:p w14:paraId="0A020A2B" w14:textId="77777777" w:rsidR="00090A8D" w:rsidRDefault="00090A8D" w:rsidP="00090A8D">
      <w:pPr>
        <w:tabs>
          <w:tab w:val="left" w:pos="567"/>
          <w:tab w:val="left" w:pos="851"/>
        </w:tabs>
        <w:autoSpaceDE w:val="0"/>
        <w:autoSpaceDN w:val="0"/>
        <w:adjustRightInd w:val="0"/>
        <w:spacing w:after="0"/>
        <w:ind w:firstLine="576"/>
        <w:jc w:val="both"/>
        <w:rPr>
          <w:rFonts w:ascii="Arial" w:hAnsi="Arial" w:cs="Arial"/>
          <w:sz w:val="24"/>
          <w:szCs w:val="24"/>
          <w:lang w:val="az-Latn-AZ"/>
        </w:rPr>
      </w:pPr>
    </w:p>
    <w:p w14:paraId="0B4CC4DA" w14:textId="77777777" w:rsidR="00090A8D" w:rsidRDefault="006257B6" w:rsidP="006257B6">
      <w:pPr>
        <w:tabs>
          <w:tab w:val="left" w:pos="567"/>
          <w:tab w:val="left" w:pos="851"/>
        </w:tabs>
        <w:autoSpaceDE w:val="0"/>
        <w:autoSpaceDN w:val="0"/>
        <w:adjustRightInd w:val="0"/>
        <w:spacing w:after="120"/>
        <w:ind w:hanging="810"/>
        <w:jc w:val="both"/>
        <w:rPr>
          <w:rFonts w:ascii="Arial" w:hAnsi="Arial" w:cs="Arial"/>
          <w:sz w:val="24"/>
          <w:szCs w:val="24"/>
          <w:lang w:val="az-Latn-AZ"/>
        </w:rPr>
      </w:pPr>
      <w:r>
        <w:rPr>
          <w:noProof/>
        </w:rPr>
        <w:lastRenderedPageBreak/>
        <w:drawing>
          <wp:inline distT="0" distB="0" distL="0" distR="0" wp14:anchorId="33DBC368" wp14:editId="10E43564">
            <wp:extent cx="7067550" cy="4038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289FA3" w14:textId="77777777" w:rsidR="00340555" w:rsidRDefault="00340555" w:rsidP="00090A8D">
      <w:pPr>
        <w:tabs>
          <w:tab w:val="left" w:pos="567"/>
          <w:tab w:val="left" w:pos="851"/>
        </w:tabs>
        <w:autoSpaceDE w:val="0"/>
        <w:autoSpaceDN w:val="0"/>
        <w:adjustRightInd w:val="0"/>
        <w:spacing w:after="0"/>
        <w:ind w:firstLine="578"/>
        <w:jc w:val="both"/>
        <w:rPr>
          <w:rFonts w:ascii="Arial" w:hAnsi="Arial" w:cs="Arial"/>
          <w:sz w:val="24"/>
          <w:szCs w:val="24"/>
          <w:lang w:val="az-Latn-AZ"/>
        </w:rPr>
      </w:pPr>
    </w:p>
    <w:p w14:paraId="0080EBC9" w14:textId="77777777" w:rsidR="00090A8D" w:rsidRDefault="00090A8D" w:rsidP="00090A8D">
      <w:pPr>
        <w:tabs>
          <w:tab w:val="left" w:pos="567"/>
          <w:tab w:val="left" w:pos="851"/>
        </w:tabs>
        <w:autoSpaceDE w:val="0"/>
        <w:autoSpaceDN w:val="0"/>
        <w:adjustRightInd w:val="0"/>
        <w:spacing w:after="0"/>
        <w:ind w:firstLine="578"/>
        <w:jc w:val="both"/>
        <w:rPr>
          <w:rFonts w:ascii="Arial" w:hAnsi="Arial" w:cs="Arial"/>
          <w:sz w:val="24"/>
          <w:szCs w:val="24"/>
          <w:lang w:val="az-Latn-AZ"/>
        </w:rPr>
      </w:pPr>
      <w:r w:rsidRPr="006B36B4">
        <w:rPr>
          <w:rFonts w:ascii="Arial" w:hAnsi="Arial" w:cs="Arial"/>
          <w:sz w:val="24"/>
          <w:szCs w:val="24"/>
          <w:lang w:val="az-Latn-AZ"/>
        </w:rPr>
        <w:t>Qeyd edək ki, ötə</w:t>
      </w:r>
      <w:r w:rsidR="00395EAB">
        <w:rPr>
          <w:rFonts w:ascii="Arial" w:hAnsi="Arial" w:cs="Arial"/>
          <w:sz w:val="24"/>
          <w:szCs w:val="24"/>
          <w:lang w:val="az-Latn-AZ"/>
        </w:rPr>
        <w:t>n 5</w:t>
      </w:r>
      <w:r w:rsidRPr="006B36B4">
        <w:rPr>
          <w:rFonts w:ascii="Arial" w:hAnsi="Arial" w:cs="Arial"/>
          <w:sz w:val="24"/>
          <w:szCs w:val="24"/>
          <w:lang w:val="az-Latn-AZ"/>
        </w:rPr>
        <w:t xml:space="preserve"> ilə yaxın müddət ərzində Bakı şəhərində </w:t>
      </w:r>
      <w:r w:rsidRPr="00444B12">
        <w:rPr>
          <w:rFonts w:ascii="Arial" w:hAnsi="Arial" w:cs="Arial"/>
          <w:sz w:val="24"/>
          <w:szCs w:val="24"/>
          <w:lang w:val="az-Latn-AZ"/>
        </w:rPr>
        <w:t>tikinti obyektləri</w:t>
      </w:r>
      <w:r>
        <w:rPr>
          <w:rFonts w:ascii="Arial" w:hAnsi="Arial" w:cs="Arial"/>
          <w:sz w:val="24"/>
          <w:szCs w:val="24"/>
          <w:lang w:val="az-Latn-AZ"/>
        </w:rPr>
        <w:t>nin</w:t>
      </w:r>
      <w:r w:rsidRPr="006B36B4">
        <w:rPr>
          <w:rFonts w:ascii="Arial" w:hAnsi="Arial" w:cs="Arial"/>
          <w:sz w:val="24"/>
          <w:szCs w:val="24"/>
          <w:lang w:val="az-Latn-AZ"/>
        </w:rPr>
        <w:t xml:space="preserve"> inşası ilə məşğul olan podratçı şirkətlərin malik olduğu əmək müqaviləsi sayında 2 dəfə</w:t>
      </w:r>
      <w:r>
        <w:rPr>
          <w:rFonts w:ascii="Arial" w:hAnsi="Arial" w:cs="Arial"/>
          <w:sz w:val="24"/>
          <w:szCs w:val="24"/>
          <w:lang w:val="az-Latn-AZ"/>
        </w:rPr>
        <w:t>yə yaxın</w:t>
      </w:r>
      <w:r w:rsidRPr="006B36B4">
        <w:rPr>
          <w:rFonts w:ascii="Arial" w:hAnsi="Arial" w:cs="Arial"/>
          <w:sz w:val="24"/>
          <w:szCs w:val="24"/>
          <w:lang w:val="az-Latn-AZ"/>
        </w:rPr>
        <w:t xml:space="preserve"> artım qeydə alınmışdır. Belə ki, Monitorinq Mərkəzinin yaradıldığı dövrdə bir podratçı şirkət orta hesabla 35 əmək müqaviləsinə malik idisə, hesabat ilinin sonuna bu göstə</w:t>
      </w:r>
      <w:r w:rsidR="00395EAB">
        <w:rPr>
          <w:rFonts w:ascii="Arial" w:hAnsi="Arial" w:cs="Arial"/>
          <w:sz w:val="24"/>
          <w:szCs w:val="24"/>
          <w:lang w:val="az-Latn-AZ"/>
        </w:rPr>
        <w:t>rici 68</w:t>
      </w:r>
      <w:r w:rsidRPr="006B36B4">
        <w:rPr>
          <w:rFonts w:ascii="Arial" w:hAnsi="Arial" w:cs="Arial"/>
          <w:sz w:val="24"/>
          <w:szCs w:val="24"/>
          <w:lang w:val="az-Latn-AZ"/>
        </w:rPr>
        <w:t xml:space="preserve"> əmək müqaviləsinə qədər yüksəlmişdir. </w:t>
      </w:r>
    </w:p>
    <w:p w14:paraId="6CE24101" w14:textId="77777777" w:rsidR="00090A8D" w:rsidRDefault="00090A8D" w:rsidP="00090A8D">
      <w:pPr>
        <w:tabs>
          <w:tab w:val="left" w:pos="567"/>
          <w:tab w:val="left" w:pos="851"/>
        </w:tabs>
        <w:autoSpaceDE w:val="0"/>
        <w:autoSpaceDN w:val="0"/>
        <w:adjustRightInd w:val="0"/>
        <w:spacing w:after="0"/>
        <w:ind w:firstLine="578"/>
        <w:jc w:val="both"/>
        <w:rPr>
          <w:rFonts w:ascii="Arial" w:hAnsi="Arial" w:cs="Arial"/>
          <w:sz w:val="24"/>
          <w:szCs w:val="24"/>
          <w:lang w:val="az-Latn-AZ"/>
        </w:rPr>
      </w:pPr>
    </w:p>
    <w:p w14:paraId="3EE4AC0A" w14:textId="77777777" w:rsidR="00090A8D" w:rsidRPr="005A6CB1" w:rsidRDefault="002941F6" w:rsidP="00340555">
      <w:pPr>
        <w:tabs>
          <w:tab w:val="left" w:pos="567"/>
          <w:tab w:val="left" w:pos="851"/>
        </w:tabs>
        <w:autoSpaceDE w:val="0"/>
        <w:autoSpaceDN w:val="0"/>
        <w:adjustRightInd w:val="0"/>
        <w:spacing w:after="0"/>
        <w:ind w:left="-540"/>
        <w:jc w:val="center"/>
        <w:rPr>
          <w:rFonts w:ascii="Arial" w:hAnsi="Arial" w:cs="Arial"/>
          <w:sz w:val="24"/>
          <w:szCs w:val="24"/>
          <w:lang w:val="az-Latn-AZ"/>
        </w:rPr>
      </w:pPr>
      <w:r w:rsidRPr="006B36B4">
        <w:rPr>
          <w:rFonts w:ascii="Arial" w:hAnsi="Arial" w:cs="Arial"/>
          <w:noProof/>
          <w:sz w:val="24"/>
          <w:szCs w:val="24"/>
        </w:rPr>
        <w:lastRenderedPageBreak/>
        <mc:AlternateContent>
          <mc:Choice Requires="wps">
            <w:drawing>
              <wp:anchor distT="0" distB="0" distL="114300" distR="114300" simplePos="0" relativeHeight="251660288" behindDoc="0" locked="0" layoutInCell="1" allowOverlap="1" wp14:anchorId="1DE0F12E" wp14:editId="59913FDC">
                <wp:simplePos x="0" y="0"/>
                <wp:positionH relativeFrom="column">
                  <wp:posOffset>5770245</wp:posOffset>
                </wp:positionH>
                <wp:positionV relativeFrom="paragraph">
                  <wp:posOffset>1634490</wp:posOffset>
                </wp:positionV>
                <wp:extent cx="0" cy="1280160"/>
                <wp:effectExtent l="76200" t="38100" r="76200" b="53340"/>
                <wp:wrapNone/>
                <wp:docPr id="22" name="Straight Arrow Connector 22"/>
                <wp:cNvGraphicFramePr/>
                <a:graphic xmlns:a="http://schemas.openxmlformats.org/drawingml/2006/main">
                  <a:graphicData uri="http://schemas.microsoft.com/office/word/2010/wordprocessingShape">
                    <wps:wsp>
                      <wps:cNvCnPr/>
                      <wps:spPr>
                        <a:xfrm>
                          <a:off x="0" y="0"/>
                          <a:ext cx="0" cy="1280160"/>
                        </a:xfrm>
                        <a:prstGeom prst="straightConnector1">
                          <a:avLst/>
                        </a:prstGeom>
                        <a:ln>
                          <a:solidFill>
                            <a:srgbClr val="0099CC"/>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A3C6632" id="_x0000_t32" coordsize="21600,21600" o:spt="32" o:oned="t" path="m,l21600,21600e" filled="f">
                <v:path arrowok="t" fillok="f" o:connecttype="none"/>
                <o:lock v:ext="edit" shapetype="t"/>
              </v:shapetype>
              <v:shape id="Straight Arrow Connector 22" o:spid="_x0000_s1026" type="#_x0000_t32" style="position:absolute;margin-left:454.35pt;margin-top:128.7pt;width:0;height:1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" strokecolor="#09c" strokeweight=".5pt">
                <v:stroke startarrow="block" endarrow="block" joinstyle="miter"/>
              </v:shape>
            </w:pict>
          </mc:Fallback>
        </mc:AlternateContent>
      </w:r>
      <w:r w:rsidRPr="006B36B4">
        <w:rPr>
          <w:rFonts w:ascii="Arial" w:hAnsi="Arial" w:cs="Arial"/>
          <w:noProof/>
          <w:sz w:val="24"/>
          <w:szCs w:val="24"/>
        </w:rPr>
        <mc:AlternateContent>
          <mc:Choice Requires="wps">
            <w:drawing>
              <wp:anchor distT="0" distB="0" distL="114300" distR="114300" simplePos="0" relativeHeight="251659264" behindDoc="0" locked="0" layoutInCell="1" allowOverlap="1" wp14:anchorId="344BC612" wp14:editId="59FA70A3">
                <wp:simplePos x="0" y="0"/>
                <wp:positionH relativeFrom="column">
                  <wp:posOffset>4951730</wp:posOffset>
                </wp:positionH>
                <wp:positionV relativeFrom="paragraph">
                  <wp:posOffset>1468755</wp:posOffset>
                </wp:positionV>
                <wp:extent cx="811530" cy="1943100"/>
                <wp:effectExtent l="0" t="0" r="0" b="0"/>
                <wp:wrapNone/>
                <wp:docPr id="15" name="Rectangle 15"/>
                <wp:cNvGraphicFramePr/>
                <a:graphic xmlns:a="http://schemas.openxmlformats.org/drawingml/2006/main">
                  <a:graphicData uri="http://schemas.microsoft.com/office/word/2010/wordprocessingShape">
                    <wps:wsp>
                      <wps:cNvSpPr/>
                      <wps:spPr>
                        <a:xfrm>
                          <a:off x="0" y="0"/>
                          <a:ext cx="811530" cy="1943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779864" w14:textId="77777777" w:rsidR="00090A8D" w:rsidRPr="00273A8E" w:rsidRDefault="00223DE0" w:rsidP="00090A8D">
                            <w:pPr>
                              <w:spacing w:after="0"/>
                              <w:jc w:val="center"/>
                              <w:rPr>
                                <w:rFonts w:ascii="Arial" w:hAnsi="Arial" w:cs="Arial"/>
                                <w:b/>
                                <w:color w:val="0099CC"/>
                                <w:sz w:val="32"/>
                                <w:lang w:val="az-Latn-AZ"/>
                              </w:rPr>
                            </w:pPr>
                            <w:r>
                              <w:rPr>
                                <w:rFonts w:ascii="Arial" w:hAnsi="Arial" w:cs="Arial"/>
                                <w:b/>
                                <w:color w:val="0099CC"/>
                                <w:sz w:val="32"/>
                                <w:lang w:val="az-Latn-AZ"/>
                              </w:rPr>
                              <w:t>94</w:t>
                            </w:r>
                            <w:r w:rsidR="00090A8D" w:rsidRPr="00273A8E">
                              <w:rPr>
                                <w:rFonts w:ascii="Arial" w:hAnsi="Arial" w:cs="Arial"/>
                                <w:b/>
                                <w:color w:val="0099CC"/>
                                <w:sz w:val="32"/>
                                <w:lang w:val="az-Latn-AZ"/>
                              </w:rPr>
                              <w:t>% artım</w:t>
                            </w:r>
                          </w:p>
                          <w:p w14:paraId="6A1E09BE" w14:textId="77777777" w:rsidR="00090A8D" w:rsidRPr="00273A8E" w:rsidRDefault="00090A8D" w:rsidP="00090A8D">
                            <w:pPr>
                              <w:jc w:val="center"/>
                              <w:rPr>
                                <w:rFonts w:ascii="Arial" w:hAnsi="Arial" w:cs="Arial"/>
                                <w:color w:val="0099CC"/>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CEC2CAF" id="Rectangle 15" o:spid="_x0000_s1026" style="position:absolute;left:0;text-align:left;margin-left:389.9pt;margin-top:115.65pt;width:63.9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" filled="f" stroked="f" strokeweight="1pt">
                <v:textbox>
                  <w:txbxContent>
                    <w:p w:rsidR="00090A8D" w:rsidRPr="00273A8E" w:rsidRDefault="00223DE0" w:rsidP="00090A8D">
                      <w:pPr>
                        <w:spacing w:after="0"/>
                        <w:jc w:val="center"/>
                        <w:rPr>
                          <w:rFonts w:ascii="Arial" w:hAnsi="Arial" w:cs="Arial"/>
                          <w:b/>
                          <w:color w:val="0099CC"/>
                          <w:sz w:val="32"/>
                          <w:lang w:val="az-Latn-AZ"/>
                        </w:rPr>
                      </w:pPr>
                      <w:r>
                        <w:rPr>
                          <w:rFonts w:ascii="Arial" w:hAnsi="Arial" w:cs="Arial"/>
                          <w:b/>
                          <w:color w:val="0099CC"/>
                          <w:sz w:val="32"/>
                          <w:lang w:val="az-Latn-AZ"/>
                        </w:rPr>
                        <w:t>94</w:t>
                      </w:r>
                      <w:r w:rsidR="00090A8D" w:rsidRPr="00273A8E">
                        <w:rPr>
                          <w:rFonts w:ascii="Arial" w:hAnsi="Arial" w:cs="Arial"/>
                          <w:b/>
                          <w:color w:val="0099CC"/>
                          <w:sz w:val="32"/>
                          <w:lang w:val="az-Latn-AZ"/>
                        </w:rPr>
                        <w:t>% artım</w:t>
                      </w:r>
                    </w:p>
                    <w:p w:rsidR="00090A8D" w:rsidRPr="00273A8E" w:rsidRDefault="00090A8D" w:rsidP="00090A8D">
                      <w:pPr>
                        <w:jc w:val="center"/>
                        <w:rPr>
                          <w:rFonts w:ascii="Arial" w:hAnsi="Arial" w:cs="Arial"/>
                          <w:color w:val="0099CC"/>
                          <w:sz w:val="16"/>
                        </w:rPr>
                      </w:pPr>
                    </w:p>
                  </w:txbxContent>
                </v:textbox>
              </v:rect>
            </w:pict>
          </mc:Fallback>
        </mc:AlternateContent>
      </w:r>
      <w:r w:rsidR="00090A8D" w:rsidRPr="00874C8A">
        <w:rPr>
          <w:rFonts w:ascii="Arial" w:hAnsi="Arial" w:cs="Arial"/>
          <w:b/>
          <w:bCs/>
          <w:sz w:val="24"/>
          <w:szCs w:val="24"/>
          <w:lang w:val="az-Latn-AZ"/>
        </w:rPr>
        <w:t>Podratçı şirkətlər üzrə qüvvədə olan əmək müqavilə</w:t>
      </w:r>
      <w:r w:rsidR="00090A8D">
        <w:rPr>
          <w:rFonts w:ascii="Arial" w:hAnsi="Arial" w:cs="Arial"/>
          <w:b/>
          <w:bCs/>
          <w:sz w:val="24"/>
          <w:szCs w:val="24"/>
          <w:lang w:val="az-Latn-AZ"/>
        </w:rPr>
        <w:t>lər</w:t>
      </w:r>
      <w:r w:rsidR="00090A8D" w:rsidRPr="00874C8A">
        <w:rPr>
          <w:rFonts w:ascii="Arial" w:hAnsi="Arial" w:cs="Arial"/>
          <w:b/>
          <w:bCs/>
          <w:sz w:val="24"/>
          <w:szCs w:val="24"/>
          <w:lang w:val="az-Latn-AZ"/>
        </w:rPr>
        <w:t>i</w:t>
      </w:r>
      <w:r w:rsidR="00090A8D">
        <w:rPr>
          <w:rFonts w:ascii="Arial" w:hAnsi="Arial" w:cs="Arial"/>
          <w:b/>
          <w:bCs/>
          <w:sz w:val="24"/>
          <w:szCs w:val="24"/>
          <w:lang w:val="az-Latn-AZ"/>
        </w:rPr>
        <w:t>nin</w:t>
      </w:r>
      <w:r w:rsidR="00090A8D" w:rsidRPr="00874C8A">
        <w:rPr>
          <w:rFonts w:ascii="Arial" w:hAnsi="Arial" w:cs="Arial"/>
          <w:b/>
          <w:bCs/>
          <w:sz w:val="24"/>
          <w:szCs w:val="24"/>
          <w:lang w:val="az-Latn-AZ"/>
        </w:rPr>
        <w:t xml:space="preserve"> orta sayı</w:t>
      </w:r>
      <w:r w:rsidR="00090A8D" w:rsidRPr="000D79C9">
        <w:rPr>
          <w:rFonts w:ascii="Arial" w:hAnsi="Arial" w:cs="Arial"/>
          <w:noProof/>
          <w:sz w:val="24"/>
          <w:szCs w:val="24"/>
          <w:highlight w:val="yellow"/>
        </w:rPr>
        <w:drawing>
          <wp:inline distT="0" distB="0" distL="0" distR="0" wp14:anchorId="77BFFDB8" wp14:editId="1B757A40">
            <wp:extent cx="6905625" cy="441007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A8D791" w14:textId="77777777" w:rsidR="00D01775" w:rsidRDefault="00D01775" w:rsidP="00D01775">
      <w:pPr>
        <w:tabs>
          <w:tab w:val="left" w:pos="851"/>
        </w:tabs>
        <w:autoSpaceDE w:val="0"/>
        <w:autoSpaceDN w:val="0"/>
        <w:adjustRightInd w:val="0"/>
        <w:spacing w:after="120"/>
        <w:ind w:firstLine="578"/>
        <w:jc w:val="both"/>
        <w:rPr>
          <w:rFonts w:ascii="Arial" w:hAnsi="Arial" w:cs="Arial"/>
          <w:sz w:val="24"/>
          <w:szCs w:val="24"/>
          <w:lang w:val="az-Latn-AZ"/>
        </w:rPr>
      </w:pPr>
      <w:r w:rsidRPr="006B36B4">
        <w:rPr>
          <w:rFonts w:ascii="Arial" w:hAnsi="Arial" w:cs="Arial"/>
          <w:noProof/>
          <w:sz w:val="24"/>
          <w:szCs w:val="24"/>
        </w:rPr>
        <mc:AlternateContent>
          <mc:Choice Requires="wps">
            <w:drawing>
              <wp:anchor distT="0" distB="0" distL="114300" distR="114300" simplePos="0" relativeHeight="251662336" behindDoc="0" locked="0" layoutInCell="1" allowOverlap="1" wp14:anchorId="04DFAD37" wp14:editId="1404C0CB">
                <wp:simplePos x="0" y="0"/>
                <wp:positionH relativeFrom="margin">
                  <wp:posOffset>725170</wp:posOffset>
                </wp:positionH>
                <wp:positionV relativeFrom="paragraph">
                  <wp:posOffset>2179955</wp:posOffset>
                </wp:positionV>
                <wp:extent cx="504748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047488"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7568BC26" id="Straight Connector 5"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7.1pt,171.65pt" to="454.5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" stroked="f" strokeweight=".5pt">
                <v:stroke joinstyle="miter"/>
                <w10:wrap anchorx="margin"/>
              </v:line>
            </w:pict>
          </mc:Fallback>
        </mc:AlternateContent>
      </w:r>
      <w:r>
        <w:rPr>
          <w:rFonts w:ascii="Arial" w:hAnsi="Arial" w:cs="Arial"/>
          <w:sz w:val="24"/>
          <w:szCs w:val="24"/>
          <w:lang w:val="az-Latn-AZ"/>
        </w:rPr>
        <w:t>Keçirilmiş monitorinqlər zamanı əmək və ya xidməti müqavilə olmadan 10 nəfərdən az şəxsi işə cəlb etmə ilə bağlı 24 işəgötürən üzrə pozuntu halı qeydə alınmış və bu faktlar aktlaşdırılaraq baxılması üçün Dövlət Agentliyi tərəfindən Azərbaycan Respublikasının Əmək və Əhalinin Sosial Müdafiəsi Nazirliyinə göndərilmişdir. Ümumilikdə 14-ü hüquqi, 10-u isə fiziki şəxs olmaqla 24 işəgötürəndən</w:t>
      </w:r>
      <w:r w:rsidRPr="001F4ED7">
        <w:rPr>
          <w:rFonts w:ascii="Arial" w:hAnsi="Arial" w:cs="Arial"/>
          <w:sz w:val="24"/>
          <w:szCs w:val="24"/>
          <w:lang w:val="az-Latn-AZ"/>
        </w:rPr>
        <w:t xml:space="preserve"> </w:t>
      </w:r>
      <w:r>
        <w:rPr>
          <w:rFonts w:ascii="Arial" w:hAnsi="Arial" w:cs="Arial"/>
          <w:sz w:val="24"/>
          <w:szCs w:val="24"/>
          <w:lang w:val="az-Latn-AZ"/>
        </w:rPr>
        <w:t xml:space="preserve">14-ü barədə inzibati xəta faktı təsdiq edilmişdir. Bu faktlar üzrə </w:t>
      </w:r>
      <w:r w:rsidR="0034597A">
        <w:rPr>
          <w:rFonts w:ascii="Arial" w:hAnsi="Arial" w:cs="Arial"/>
          <w:sz w:val="24"/>
          <w:szCs w:val="24"/>
          <w:lang w:val="az-Latn-AZ"/>
        </w:rPr>
        <w:t>186</w:t>
      </w:r>
      <w:r>
        <w:rPr>
          <w:rFonts w:ascii="Arial" w:hAnsi="Arial" w:cs="Arial"/>
          <w:sz w:val="24"/>
          <w:szCs w:val="24"/>
          <w:lang w:val="az-Latn-AZ"/>
        </w:rPr>
        <w:t xml:space="preserve"> </w:t>
      </w:r>
      <w:r w:rsidR="0034597A">
        <w:rPr>
          <w:rFonts w:ascii="Arial" w:hAnsi="Arial" w:cs="Arial"/>
          <w:sz w:val="24"/>
          <w:szCs w:val="24"/>
          <w:lang w:val="az-Latn-AZ"/>
        </w:rPr>
        <w:t>5</w:t>
      </w:r>
      <w:r w:rsidRPr="001F4ED7">
        <w:rPr>
          <w:rFonts w:ascii="Arial" w:hAnsi="Arial" w:cs="Arial"/>
          <w:sz w:val="24"/>
          <w:szCs w:val="24"/>
          <w:lang w:val="az-Latn-AZ"/>
        </w:rPr>
        <w:t xml:space="preserve">00 </w:t>
      </w:r>
      <w:r>
        <w:rPr>
          <w:rFonts w:ascii="Arial" w:hAnsi="Arial" w:cs="Arial"/>
          <w:sz w:val="24"/>
          <w:szCs w:val="24"/>
          <w:lang w:val="az-Latn-AZ"/>
        </w:rPr>
        <w:t xml:space="preserve">manat həcmində inzibati cərimə tətbiq edilmişdir. Əmək və ya xidməti müqavilə olmadan 10 nəfər və daha çox şəxsi işə cəlb etmə ilə bağlı ümumilikdə </w:t>
      </w:r>
      <w:r w:rsidRPr="001F4ED7">
        <w:rPr>
          <w:rFonts w:ascii="Arial" w:hAnsi="Arial" w:cs="Arial"/>
          <w:sz w:val="24"/>
          <w:szCs w:val="24"/>
          <w:lang w:val="az-Latn-AZ"/>
        </w:rPr>
        <w:t>1</w:t>
      </w:r>
      <w:r>
        <w:rPr>
          <w:rFonts w:ascii="Arial" w:hAnsi="Arial" w:cs="Arial"/>
          <w:sz w:val="24"/>
          <w:szCs w:val="24"/>
          <w:lang w:val="az-Latn-AZ"/>
        </w:rPr>
        <w:t xml:space="preserve"> (fiziki şəxs) işəgötürən üzrə pozuntu halı qeydə alınmış və bu faktlar aktlaşdırılaraq baxılması üçün Dövlət Agentliyi tərəfindən Azərbaycan Respublikasının Baş Prokurorluğuna göndərilmişdir</w:t>
      </w:r>
      <w:r w:rsidR="0034597A">
        <w:rPr>
          <w:rFonts w:ascii="Arial" w:hAnsi="Arial" w:cs="Arial"/>
          <w:sz w:val="24"/>
          <w:szCs w:val="24"/>
          <w:lang w:val="az-Latn-AZ"/>
        </w:rPr>
        <w:t xml:space="preserve"> (təhqiqatdadır)</w:t>
      </w:r>
      <w:r>
        <w:rPr>
          <w:rFonts w:ascii="Arial" w:hAnsi="Arial" w:cs="Arial"/>
          <w:sz w:val="24"/>
          <w:szCs w:val="24"/>
          <w:lang w:val="az-Latn-AZ"/>
        </w:rPr>
        <w:t>.</w:t>
      </w:r>
    </w:p>
    <w:p w14:paraId="1962D103" w14:textId="77777777" w:rsidR="00090A8D" w:rsidRDefault="00D01775" w:rsidP="00D01775">
      <w:pPr>
        <w:tabs>
          <w:tab w:val="left" w:pos="851"/>
        </w:tabs>
        <w:autoSpaceDE w:val="0"/>
        <w:autoSpaceDN w:val="0"/>
        <w:adjustRightInd w:val="0"/>
        <w:spacing w:after="120"/>
        <w:jc w:val="both"/>
        <w:rPr>
          <w:rFonts w:ascii="Arial" w:hAnsi="Arial" w:cs="Arial"/>
          <w:sz w:val="24"/>
          <w:szCs w:val="24"/>
          <w:lang w:val="az-Latn-AZ"/>
        </w:rPr>
      </w:pPr>
      <w:r>
        <w:rPr>
          <w:rFonts w:ascii="Arial" w:hAnsi="Arial" w:cs="Arial"/>
          <w:sz w:val="24"/>
          <w:szCs w:val="24"/>
          <w:lang w:val="az-Latn-AZ"/>
        </w:rPr>
        <w:tab/>
        <w:t>2022-ci il ərzində Monitorinq Mərkəzi tərəfindən Bakı şəhəri üzrə</w:t>
      </w:r>
      <w:r w:rsidR="0034597A">
        <w:rPr>
          <w:rFonts w:ascii="Arial" w:hAnsi="Arial" w:cs="Arial"/>
          <w:sz w:val="24"/>
          <w:szCs w:val="24"/>
          <w:lang w:val="az-Latn-AZ"/>
        </w:rPr>
        <w:t xml:space="preserve"> 143</w:t>
      </w:r>
      <w:r>
        <w:rPr>
          <w:rFonts w:ascii="Arial" w:hAnsi="Arial" w:cs="Arial"/>
          <w:sz w:val="24"/>
          <w:szCs w:val="24"/>
          <w:lang w:val="az-Latn-AZ"/>
        </w:rPr>
        <w:t xml:space="preserve"> tikinti obyektində işçi və işəgötürənlərlə maarifləndirmə xarakterli görüşlər keçirilmişdir. Görüşlər zamanı sahibkarlarla qeyri-formal məşğulluğu doğuran səbəblər müzakirə edilmiş, bu istiqamətdə tövsiyələr verilmiş, müxtəlif məlumatlandırıcı bukletlər və nəşrlər paylanılmışdır.</w:t>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tab/>
      </w:r>
      <w:r w:rsidR="00090A8D">
        <w:rPr>
          <w:rFonts w:ascii="Arial" w:hAnsi="Arial" w:cs="Arial"/>
          <w:sz w:val="24"/>
          <w:szCs w:val="24"/>
          <w:lang w:val="az-Latn-AZ"/>
        </w:rPr>
        <w:br/>
      </w:r>
    </w:p>
    <w:p w14:paraId="7EF912D0" w14:textId="77777777" w:rsidR="009F2212" w:rsidRPr="00090A8D" w:rsidRDefault="009F2212">
      <w:pPr>
        <w:rPr>
          <w:rFonts w:ascii="Arial" w:hAnsi="Arial" w:cs="Arial"/>
          <w:sz w:val="24"/>
          <w:szCs w:val="24"/>
          <w:lang w:val="az-Latn-AZ"/>
        </w:rPr>
      </w:pPr>
    </w:p>
    <w:sectPr w:rsidR="009F2212" w:rsidRPr="00090A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2244F" w14:textId="77777777" w:rsidR="00316ECA" w:rsidRDefault="00316ECA" w:rsidP="00316ECA">
      <w:pPr>
        <w:spacing w:after="0" w:line="240" w:lineRule="auto"/>
      </w:pPr>
      <w:r>
        <w:separator/>
      </w:r>
    </w:p>
  </w:endnote>
  <w:endnote w:type="continuationSeparator" w:id="0">
    <w:p w14:paraId="7094FB58" w14:textId="77777777" w:rsidR="00316ECA" w:rsidRDefault="00316ECA" w:rsidP="0031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2872F" w14:textId="77777777" w:rsidR="00316ECA" w:rsidRDefault="00316ECA" w:rsidP="00316ECA">
      <w:pPr>
        <w:spacing w:after="0" w:line="240" w:lineRule="auto"/>
      </w:pPr>
      <w:r>
        <w:separator/>
      </w:r>
    </w:p>
  </w:footnote>
  <w:footnote w:type="continuationSeparator" w:id="0">
    <w:p w14:paraId="69668F56" w14:textId="77777777" w:rsidR="00316ECA" w:rsidRDefault="00316ECA" w:rsidP="00316E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8D"/>
    <w:rsid w:val="00007D49"/>
    <w:rsid w:val="00064F3C"/>
    <w:rsid w:val="00090A8D"/>
    <w:rsid w:val="000D79C9"/>
    <w:rsid w:val="0011371F"/>
    <w:rsid w:val="00146523"/>
    <w:rsid w:val="00223DE0"/>
    <w:rsid w:val="00256B86"/>
    <w:rsid w:val="002941F6"/>
    <w:rsid w:val="002D73F8"/>
    <w:rsid w:val="00316ECA"/>
    <w:rsid w:val="003347DE"/>
    <w:rsid w:val="00340555"/>
    <w:rsid w:val="0034597A"/>
    <w:rsid w:val="00395EAB"/>
    <w:rsid w:val="003F559B"/>
    <w:rsid w:val="004004A7"/>
    <w:rsid w:val="00416156"/>
    <w:rsid w:val="00437E6E"/>
    <w:rsid w:val="005A6CB1"/>
    <w:rsid w:val="006257B6"/>
    <w:rsid w:val="006C4414"/>
    <w:rsid w:val="006F7A84"/>
    <w:rsid w:val="007E6FB9"/>
    <w:rsid w:val="008673DF"/>
    <w:rsid w:val="00962591"/>
    <w:rsid w:val="009802C6"/>
    <w:rsid w:val="009B2FD1"/>
    <w:rsid w:val="009F2212"/>
    <w:rsid w:val="00AD7EB5"/>
    <w:rsid w:val="00BD7DDE"/>
    <w:rsid w:val="00CA17C4"/>
    <w:rsid w:val="00D01775"/>
    <w:rsid w:val="00D33217"/>
    <w:rsid w:val="00D717B3"/>
    <w:rsid w:val="00DA17D1"/>
    <w:rsid w:val="00DA47C3"/>
    <w:rsid w:val="00E8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93D05"/>
  <w15:chartTrackingRefBased/>
  <w15:docId w15:val="{ACF20EA8-98AB-448F-AC97-7DA029E3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A8D"/>
    <w:pPr>
      <w:spacing w:after="200" w:line="276" w:lineRule="auto"/>
    </w:pPr>
    <w:rPr>
      <w:rFonts w:eastAsiaTheme="minorEastAsia" w:cs="Times New Roman"/>
    </w:rPr>
  </w:style>
  <w:style w:type="paragraph" w:styleId="Heading1">
    <w:name w:val="heading 1"/>
    <w:basedOn w:val="Normal"/>
    <w:next w:val="Normal"/>
    <w:link w:val="Heading1Char"/>
    <w:uiPriority w:val="9"/>
    <w:qFormat/>
    <w:rsid w:val="00090A8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A8D"/>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007D49"/>
    <w:rPr>
      <w:sz w:val="16"/>
      <w:szCs w:val="16"/>
    </w:rPr>
  </w:style>
  <w:style w:type="paragraph" w:styleId="CommentText">
    <w:name w:val="annotation text"/>
    <w:basedOn w:val="Normal"/>
    <w:link w:val="CommentTextChar"/>
    <w:uiPriority w:val="99"/>
    <w:semiHidden/>
    <w:unhideWhenUsed/>
    <w:rsid w:val="00007D49"/>
    <w:pPr>
      <w:spacing w:line="240" w:lineRule="auto"/>
    </w:pPr>
    <w:rPr>
      <w:sz w:val="20"/>
      <w:szCs w:val="20"/>
    </w:rPr>
  </w:style>
  <w:style w:type="character" w:customStyle="1" w:styleId="CommentTextChar">
    <w:name w:val="Comment Text Char"/>
    <w:basedOn w:val="DefaultParagraphFont"/>
    <w:link w:val="CommentText"/>
    <w:uiPriority w:val="99"/>
    <w:semiHidden/>
    <w:rsid w:val="00007D49"/>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007D49"/>
    <w:rPr>
      <w:b/>
      <w:bCs/>
    </w:rPr>
  </w:style>
  <w:style w:type="character" w:customStyle="1" w:styleId="CommentSubjectChar">
    <w:name w:val="Comment Subject Char"/>
    <w:basedOn w:val="CommentTextChar"/>
    <w:link w:val="CommentSubject"/>
    <w:uiPriority w:val="99"/>
    <w:semiHidden/>
    <w:rsid w:val="00007D49"/>
    <w:rPr>
      <w:rFonts w:eastAsiaTheme="minorEastAsia" w:cs="Times New Roman"/>
      <w:b/>
      <w:bCs/>
      <w:sz w:val="20"/>
      <w:szCs w:val="20"/>
    </w:rPr>
  </w:style>
  <w:style w:type="paragraph" w:styleId="BalloonText">
    <w:name w:val="Balloon Text"/>
    <w:basedOn w:val="Normal"/>
    <w:link w:val="BalloonTextChar"/>
    <w:uiPriority w:val="99"/>
    <w:semiHidden/>
    <w:unhideWhenUsed/>
    <w:rsid w:val="00007D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D49"/>
    <w:rPr>
      <w:rFonts w:ascii="Segoe UI" w:eastAsiaTheme="minorEastAsia" w:hAnsi="Segoe UI" w:cs="Segoe UI"/>
      <w:sz w:val="18"/>
      <w:szCs w:val="18"/>
    </w:rPr>
  </w:style>
  <w:style w:type="paragraph" w:styleId="Header">
    <w:name w:val="header"/>
    <w:basedOn w:val="Normal"/>
    <w:link w:val="HeaderChar"/>
    <w:uiPriority w:val="99"/>
    <w:unhideWhenUsed/>
    <w:rsid w:val="00316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CA"/>
    <w:rPr>
      <w:rFonts w:eastAsiaTheme="minorEastAsia" w:cs="Times New Roman"/>
    </w:rPr>
  </w:style>
  <w:style w:type="paragraph" w:styleId="Footer">
    <w:name w:val="footer"/>
    <w:basedOn w:val="Normal"/>
    <w:link w:val="FooterChar"/>
    <w:uiPriority w:val="99"/>
    <w:unhideWhenUsed/>
    <w:rsid w:val="00316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CA"/>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Agency\EMMM\ATSS%20(Analitika%20&#220;mumi)\Aray&#305;&#351;lar\&#399;sas%20Statistik%20M&#601;lumatl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45"/>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6577977752780904"/>
          <c:w val="1"/>
          <c:h val="0.83422022247219096"/>
        </c:manualLayout>
      </c:layout>
      <c:pie3DChart>
        <c:varyColors val="1"/>
        <c:ser>
          <c:idx val="0"/>
          <c:order val="0"/>
          <c:tx>
            <c:strRef>
              <c:f>Sheet1!$B$1</c:f>
              <c:strCache>
                <c:ptCount val="1"/>
                <c:pt idx="0">
                  <c:v>Column1</c:v>
                </c:pt>
              </c:strCache>
            </c:strRef>
          </c:tx>
          <c:explosion val="7"/>
          <c:dPt>
            <c:idx val="0"/>
            <c:bubble3D val="0"/>
            <c:spPr>
              <a:solidFill>
                <a:srgbClr val="0091C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B5D-4AE7-8C41-2CD60396EF3D}"/>
              </c:ext>
            </c:extLst>
          </c:dPt>
          <c:dPt>
            <c:idx val="1"/>
            <c:bubble3D val="0"/>
            <c:spPr>
              <a:solidFill>
                <a:srgbClr val="CC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B5D-4AE7-8C41-2CD60396EF3D}"/>
              </c:ext>
            </c:extLst>
          </c:dPt>
          <c:dPt>
            <c:idx val="2"/>
            <c:bubble3D val="0"/>
            <c:spPr>
              <a:solidFill>
                <a:srgbClr val="B7A87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B5D-4AE7-8C41-2CD60396EF3D}"/>
              </c:ext>
            </c:extLst>
          </c:dPt>
          <c:dLbls>
            <c:dLbl>
              <c:idx val="0"/>
              <c:layout>
                <c:manualLayout>
                  <c:x val="0.22660350789484648"/>
                  <c:y val="7.7354259289017444E-2"/>
                </c:manualLayout>
              </c:layout>
              <c:tx>
                <c:rich>
                  <a:bodyPr/>
                  <a:lstStyle/>
                  <a:p>
                    <a:fld id="{30C666BF-CCC4-49E5-9C72-34305F3213AB}" type="CATEGORYNAME">
                      <a:rPr lang="en-US"/>
                      <a:pPr/>
                      <a:t>[CATEGORY NAME]</a:t>
                    </a:fld>
                    <a:r>
                      <a:rPr lang="en-US" baseline="0"/>
                      <a:t>
95%</a:t>
                    </a:r>
                  </a:p>
                </c:rich>
              </c:tx>
              <c:showLegendKey val="0"/>
              <c:showVal val="0"/>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BB5D-4AE7-8C41-2CD60396EF3D}"/>
                </c:ext>
              </c:extLst>
            </c:dLbl>
            <c:dLbl>
              <c:idx val="1"/>
              <c:layout>
                <c:manualLayout>
                  <c:x val="-0.18267808307178393"/>
                  <c:y val="-0.3251764362787985"/>
                </c:manualLayout>
              </c:layout>
              <c:tx>
                <c:rich>
                  <a:bodyPr/>
                  <a:lstStyle/>
                  <a:p>
                    <a:fld id="{09358CC1-0EA9-46A1-8DDD-A49F1ADE0203}" type="CATEGORYNAME">
                      <a:rPr lang="en-US"/>
                      <a:pPr/>
                      <a:t>[CATEGORY NAME]</a:t>
                    </a:fld>
                    <a:r>
                      <a:rPr lang="en-US" baseline="0"/>
                      <a:t>
4.9%</a:t>
                    </a:r>
                  </a:p>
                </c:rich>
              </c:tx>
              <c:showLegendKey val="0"/>
              <c:showVal val="0"/>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BB5D-4AE7-8C41-2CD60396EF3D}"/>
                </c:ext>
              </c:extLst>
            </c:dLbl>
            <c:dLbl>
              <c:idx val="2"/>
              <c:layout>
                <c:manualLayout>
                  <c:x val="3.5146152017504283E-2"/>
                  <c:y val="-3.5000124984377066E-2"/>
                </c:manualLayout>
              </c:layout>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fld id="{89586A10-94C3-436C-90CA-47DC90A13754}" type="CATEGORYNAME">
                      <a:rPr lang="en-US"/>
                      <a:pPr>
                        <a:defRPr sz="1000" b="1">
                          <a:solidFill>
                            <a:sysClr val="windowText" lastClr="000000"/>
                          </a:solidFill>
                        </a:defRPr>
                      </a:pPr>
                      <a:t>[CATEGORY NAME]</a:t>
                    </a:fld>
                    <a:r>
                      <a:rPr lang="en-US" baseline="0"/>
                      <a:t>
0,1%</a:t>
                    </a:r>
                  </a:p>
                </c:rich>
              </c:tx>
              <c:numFmt formatCode="0.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BB5D-4AE7-8C41-2CD60396EF3D}"/>
                </c:ext>
              </c:extLst>
            </c:dLbl>
            <c:numFmt formatCode="0.0%" sourceLinked="0"/>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Arial" panose="020B0604020202020204" pitchFamily="34" charset="0"/>
                  </a:defRPr>
                </a:pPr>
                <a:endParaRPr lang="en-US"/>
              </a:p>
            </c:txPr>
            <c:showLegendKey val="0"/>
            <c:showVal val="0"/>
            <c:showCatName val="1"/>
            <c:showSerName val="0"/>
            <c:showPercent val="1"/>
            <c:showBubbleSize val="0"/>
            <c:separator>
</c:separator>
            <c:showLeaderLines val="0"/>
            <c:extLst>
              <c:ext xmlns:c15="http://schemas.microsoft.com/office/drawing/2012/chart" uri="{CE6537A1-D6FC-4f65-9D91-7224C49458BB}"/>
            </c:extLst>
          </c:dLbls>
          <c:cat>
            <c:strRef>
              <c:f>Sheet1!$A$2:$A$4</c:f>
              <c:strCache>
                <c:ptCount val="3"/>
                <c:pt idx="0">
                  <c:v>Əmək müqaviləsi</c:v>
                </c:pt>
                <c:pt idx="1">
                  <c:v>Müqavilə yoxdur</c:v>
                </c:pt>
                <c:pt idx="2">
                  <c:v>Xidməti müqavilə</c:v>
                </c:pt>
              </c:strCache>
            </c:strRef>
          </c:cat>
          <c:val>
            <c:numRef>
              <c:f>Sheet1!$B$2:$B$4</c:f>
              <c:numCache>
                <c:formatCode>0</c:formatCode>
                <c:ptCount val="3"/>
                <c:pt idx="0">
                  <c:v>704</c:v>
                </c:pt>
                <c:pt idx="1">
                  <c:v>67</c:v>
                </c:pt>
                <c:pt idx="2">
                  <c:v>5</c:v>
                </c:pt>
              </c:numCache>
            </c:numRef>
          </c:val>
          <c:extLst>
            <c:ext xmlns:c16="http://schemas.microsoft.com/office/drawing/2014/chart" uri="{C3380CC4-5D6E-409C-BE32-E72D297353CC}">
              <c16:uniqueId val="{00000006-BB5D-4AE7-8C41-2CD60396EF3D}"/>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i="0" baseline="0">
                <a:effectLst/>
              </a:rPr>
              <a:t>Qeyri-rəsmi məşğulluq səviyyəsinin dinamikası</a:t>
            </a:r>
            <a:endParaRPr lang="en-US">
              <a:effectLst/>
            </a:endParaRPr>
          </a:p>
        </c:rich>
      </c:tx>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2512278364346497E-3"/>
          <c:y val="0.10447163616743028"/>
          <c:w val="0.98183375317169996"/>
          <c:h val="0.78487889283859291"/>
        </c:manualLayout>
      </c:layout>
      <c:lineChart>
        <c:grouping val="standard"/>
        <c:varyColors val="0"/>
        <c:ser>
          <c:idx val="0"/>
          <c:order val="0"/>
          <c:tx>
            <c:strRef>
              <c:f>Rüblük!$H$2</c:f>
              <c:strCache>
                <c:ptCount val="1"/>
                <c:pt idx="0">
                  <c:v>QRM (%)</c:v>
                </c:pt>
              </c:strCache>
            </c:strRef>
          </c:tx>
          <c:spPr>
            <a:ln w="28575" cap="sq" cmpd="sng">
              <a:solidFill>
                <a:srgbClr val="FF0000"/>
              </a:solidFill>
              <a:round/>
              <a:headEnd type="oval"/>
              <a:tailEnd type="oval"/>
            </a:ln>
            <a:effectLst/>
          </c:spPr>
          <c:marker>
            <c:symbol val="circle"/>
            <c:size val="5"/>
            <c:spPr>
              <a:solidFill>
                <a:srgbClr val="FF0000"/>
              </a:solidFill>
              <a:ln w="25400">
                <a:solidFill>
                  <a:srgbClr val="FF0000"/>
                </a:solidFill>
              </a:ln>
              <a:effectLst/>
            </c:spPr>
          </c:marker>
          <c:dPt>
            <c:idx val="0"/>
            <c:marker>
              <c:symbol val="circle"/>
              <c:size val="5"/>
              <c:spPr>
                <a:solidFill>
                  <a:srgbClr val="FF0000"/>
                </a:solidFill>
                <a:ln w="25400">
                  <a:solidFill>
                    <a:srgbClr val="FF0000"/>
                  </a:solidFill>
                </a:ln>
                <a:effectLst/>
              </c:spPr>
            </c:marker>
            <c:bubble3D val="0"/>
            <c:spPr>
              <a:ln w="28575" cap="sq" cmpd="sng">
                <a:solidFill>
                  <a:srgbClr val="FF0000"/>
                </a:solidFill>
                <a:round/>
                <a:headEnd type="oval"/>
                <a:tailEnd type="oval" w="lg" len="lg"/>
              </a:ln>
              <a:effectLst/>
            </c:spPr>
            <c:extLst>
              <c:ext xmlns:c16="http://schemas.microsoft.com/office/drawing/2014/chart" uri="{C3380CC4-5D6E-409C-BE32-E72D297353CC}">
                <c16:uniqueId val="{00000001-2A1A-450F-A69D-7E7F67BEBB07}"/>
              </c:ext>
            </c:extLst>
          </c:dPt>
          <c:dLbls>
            <c:dLbl>
              <c:idx val="1"/>
              <c:layout>
                <c:manualLayout>
                  <c:x val="-9.3127038365487334E-3"/>
                  <c:y val="-5.570742336453226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2A1A-450F-A69D-7E7F67BEBB07}"/>
                </c:ext>
              </c:extLst>
            </c:dLbl>
            <c:dLbl>
              <c:idx val="2"/>
              <c:layout>
                <c:manualLayout>
                  <c:x val="-1.5244311633072993E-2"/>
                  <c:y val="-3.65039735886672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A1A-450F-A69D-7E7F67BEBB07}"/>
                </c:ext>
              </c:extLst>
            </c:dLbl>
            <c:dLbl>
              <c:idx val="3"/>
              <c:layout>
                <c:manualLayout>
                  <c:x val="-1.4087908153518684E-2"/>
                  <c:y val="-5.276413619029328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A1A-450F-A69D-7E7F67BEBB07}"/>
                </c:ext>
              </c:extLst>
            </c:dLbl>
            <c:dLbl>
              <c:idx val="4"/>
              <c:layout>
                <c:manualLayout>
                  <c:x val="-3.6305332768304319E-2"/>
                  <c:y val="3.55053179328193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A1A-450F-A69D-7E7F67BEBB07}"/>
                </c:ext>
              </c:extLst>
            </c:dLbl>
            <c:dLbl>
              <c:idx val="6"/>
              <c:layout>
                <c:manualLayout>
                  <c:x val="-8.3058907557470498E-3"/>
                  <c:y val="-4.579549507531070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A1A-450F-A69D-7E7F67BEBB07}"/>
                </c:ext>
              </c:extLst>
            </c:dLbl>
            <c:dLbl>
              <c:idx val="7"/>
              <c:layout>
                <c:manualLayout>
                  <c:x val="-4.3243753645630302E-2"/>
                  <c:y val="2.389091607451507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A1A-450F-A69D-7E7F67BEBB07}"/>
                </c:ext>
              </c:extLst>
            </c:dLbl>
            <c:dLbl>
              <c:idx val="9"/>
              <c:layout>
                <c:manualLayout>
                  <c:x val="-4.6712964084293256E-2"/>
                  <c:y val="2.621379644617593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A1A-450F-A69D-7E7F67BEBB07}"/>
                </c:ext>
              </c:extLst>
            </c:dLbl>
            <c:dLbl>
              <c:idx val="10"/>
              <c:layout>
                <c:manualLayout>
                  <c:x val="1.5844528867853782E-2"/>
                  <c:y val="-2.111622839597880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2A1A-450F-A69D-7E7F67BEBB07}"/>
                </c:ext>
              </c:extLst>
            </c:dLbl>
            <c:dLbl>
              <c:idx val="11"/>
              <c:layout>
                <c:manualLayout>
                  <c:x val="1.2387995038573711E-2"/>
                  <c:y val="-3.185821284534555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2A1A-450F-A69D-7E7F67BEBB07}"/>
                </c:ext>
              </c:extLst>
            </c:dLbl>
            <c:dLbl>
              <c:idx val="13"/>
              <c:layout>
                <c:manualLayout>
                  <c:x val="8.7944029343146428E-3"/>
                  <c:y val="-1.55980502437195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2A1A-450F-A69D-7E7F67BEBB07}"/>
                </c:ext>
              </c:extLst>
            </c:dLbl>
            <c:dLbl>
              <c:idx val="15"/>
              <c:layout>
                <c:manualLayout>
                  <c:x val="-1.8959280574989391E-2"/>
                  <c:y val="3.55053179328193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2A1A-450F-A69D-7E7F67BEBB07}"/>
                </c:ext>
              </c:extLst>
            </c:dLbl>
            <c:dLbl>
              <c:idx val="17"/>
              <c:layout>
                <c:manualLayout>
                  <c:x val="-5.2744303188516528E-2"/>
                  <c:y val="1.720720051502984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2A1A-450F-A69D-7E7F67BEBB0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Rüblük!$B$3:$C$23</c:f>
              <c:multiLvlStrCache>
                <c:ptCount val="21"/>
                <c:lvl>
                  <c:pt idx="0">
                    <c:v>II yarımil</c:v>
                  </c:pt>
                  <c:pt idx="1">
                    <c:v>I rüb</c:v>
                  </c:pt>
                  <c:pt idx="2">
                    <c:v>II rüb</c:v>
                  </c:pt>
                  <c:pt idx="3">
                    <c:v>III rüb</c:v>
                  </c:pt>
                  <c:pt idx="4">
                    <c:v>IV rüb</c:v>
                  </c:pt>
                  <c:pt idx="5">
                    <c:v>I rüb</c:v>
                  </c:pt>
                  <c:pt idx="6">
                    <c:v>II rüb</c:v>
                  </c:pt>
                  <c:pt idx="7">
                    <c:v>III rüb</c:v>
                  </c:pt>
                  <c:pt idx="8">
                    <c:v>IV rüb</c:v>
                  </c:pt>
                  <c:pt idx="9">
                    <c:v>I rüb</c:v>
                  </c:pt>
                  <c:pt idx="10">
                    <c:v>II rüb</c:v>
                  </c:pt>
                  <c:pt idx="11">
                    <c:v>III rüb</c:v>
                  </c:pt>
                  <c:pt idx="12">
                    <c:v>IV rüb</c:v>
                  </c:pt>
                  <c:pt idx="13">
                    <c:v>I rüb</c:v>
                  </c:pt>
                  <c:pt idx="14">
                    <c:v>II rüb</c:v>
                  </c:pt>
                  <c:pt idx="15">
                    <c:v>III rüb</c:v>
                  </c:pt>
                  <c:pt idx="16">
                    <c:v>IV rüb</c:v>
                  </c:pt>
                  <c:pt idx="17">
                    <c:v>I rüb</c:v>
                  </c:pt>
                  <c:pt idx="18">
                    <c:v>II rüb</c:v>
                  </c:pt>
                  <c:pt idx="19">
                    <c:v>III rüb</c:v>
                  </c:pt>
                  <c:pt idx="20">
                    <c:v>IV rüb</c:v>
                  </c:pt>
                </c:lvl>
                <c:lvl>
                  <c:pt idx="0">
                    <c:v>2017</c:v>
                  </c:pt>
                  <c:pt idx="1">
                    <c:v>2018</c:v>
                  </c:pt>
                  <c:pt idx="5">
                    <c:v>2019</c:v>
                  </c:pt>
                  <c:pt idx="9">
                    <c:v>2020</c:v>
                  </c:pt>
                  <c:pt idx="13">
                    <c:v>2021</c:v>
                  </c:pt>
                  <c:pt idx="17">
                    <c:v>2022</c:v>
                  </c:pt>
                </c:lvl>
              </c:multiLvlStrCache>
            </c:multiLvlStrRef>
          </c:cat>
          <c:val>
            <c:numRef>
              <c:f>Rüblük!$H$3:$H$23</c:f>
              <c:numCache>
                <c:formatCode>0.0%</c:formatCode>
                <c:ptCount val="21"/>
                <c:pt idx="0">
                  <c:v>0.29870129870129869</c:v>
                </c:pt>
                <c:pt idx="1">
                  <c:v>0.31041257367387032</c:v>
                </c:pt>
                <c:pt idx="2">
                  <c:v>0.28187134502923977</c:v>
                </c:pt>
                <c:pt idx="3">
                  <c:v>0.14285714285714285</c:v>
                </c:pt>
                <c:pt idx="4">
                  <c:v>9.8457888493475684E-2</c:v>
                </c:pt>
                <c:pt idx="5">
                  <c:v>0.24444444444444444</c:v>
                </c:pt>
                <c:pt idx="6">
                  <c:v>0.11904761904761904</c:v>
                </c:pt>
                <c:pt idx="7">
                  <c:v>4.4795783926218712E-2</c:v>
                </c:pt>
                <c:pt idx="8">
                  <c:v>0.16487455197132617</c:v>
                </c:pt>
                <c:pt idx="9">
                  <c:v>4.5816733067729085E-2</c:v>
                </c:pt>
                <c:pt idx="10">
                  <c:v>0.47619047619047616</c:v>
                </c:pt>
                <c:pt idx="11" formatCode="General">
                  <c:v>0</c:v>
                </c:pt>
                <c:pt idx="12">
                  <c:v>0.1484375</c:v>
                </c:pt>
                <c:pt idx="13">
                  <c:v>1.4851485148514851E-2</c:v>
                </c:pt>
                <c:pt idx="14">
                  <c:v>9.2485549132947972E-2</c:v>
                </c:pt>
                <c:pt idx="15">
                  <c:v>5.8823529411764705E-2</c:v>
                </c:pt>
                <c:pt idx="16">
                  <c:v>0.13636363636363635</c:v>
                </c:pt>
                <c:pt idx="17">
                  <c:v>2.4221453287197232E-2</c:v>
                </c:pt>
                <c:pt idx="18">
                  <c:v>4.0983606557377046E-2</c:v>
                </c:pt>
                <c:pt idx="19">
                  <c:v>6.1994609164420483E-2</c:v>
                </c:pt>
                <c:pt idx="20">
                  <c:v>6.6312997347480113E-2</c:v>
                </c:pt>
              </c:numCache>
            </c:numRef>
          </c:val>
          <c:smooth val="0"/>
          <c:extLst>
            <c:ext xmlns:c16="http://schemas.microsoft.com/office/drawing/2014/chart" uri="{C3380CC4-5D6E-409C-BE32-E72D297353CC}">
              <c16:uniqueId val="{0000000C-2A1A-450F-A69D-7E7F67BEBB07}"/>
            </c:ext>
          </c:extLst>
        </c:ser>
        <c:dLbls>
          <c:dLblPos val="t"/>
          <c:showLegendKey val="0"/>
          <c:showVal val="1"/>
          <c:showCatName val="0"/>
          <c:showSerName val="0"/>
          <c:showPercent val="0"/>
          <c:showBubbleSize val="0"/>
        </c:dLbls>
        <c:marker val="1"/>
        <c:smooth val="0"/>
        <c:axId val="1199065824"/>
        <c:axId val="1199066656"/>
      </c:lineChart>
      <c:catAx>
        <c:axId val="11990658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199066656"/>
        <c:crosses val="autoZero"/>
        <c:auto val="1"/>
        <c:lblAlgn val="ctr"/>
        <c:lblOffset val="100"/>
        <c:noMultiLvlLbl val="0"/>
      </c:catAx>
      <c:valAx>
        <c:axId val="119906665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119906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320883619673495E-2"/>
          <c:y val="0.1192392299936115"/>
          <c:w val="0.95931718088397655"/>
          <c:h val="0.64606707494896476"/>
        </c:manualLayout>
      </c:layout>
      <c:lineChart>
        <c:grouping val="standard"/>
        <c:varyColors val="0"/>
        <c:ser>
          <c:idx val="0"/>
          <c:order val="0"/>
          <c:tx>
            <c:strRef>
              <c:f>Sheet1!$B$1</c:f>
              <c:strCache>
                <c:ptCount val="1"/>
                <c:pt idx="0">
                  <c:v>Series 1</c:v>
                </c:pt>
              </c:strCache>
            </c:strRef>
          </c:tx>
          <c:spPr>
            <a:ln w="31750" cap="rnd">
              <a:solidFill>
                <a:srgbClr val="C00000"/>
              </a:solidFill>
              <a:round/>
            </a:ln>
            <a:effectLst/>
          </c:spPr>
          <c:marker>
            <c:symbol val="circle"/>
            <c:size val="9"/>
            <c:spPr>
              <a:solidFill>
                <a:schemeClr val="bg1"/>
              </a:solidFill>
              <a:ln w="41275">
                <a:solidFill>
                  <a:srgbClr val="C00000"/>
                </a:solidFill>
              </a:ln>
              <a:effectLst/>
            </c:spPr>
          </c:marker>
          <c:dLbls>
            <c:dLbl>
              <c:idx val="0"/>
              <c:layout>
                <c:manualLayout>
                  <c:x val="-2.683685239981945E-2"/>
                  <c:y val="-1.050358705161854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CD04-4C6C-B8EA-FD0B72679E97}"/>
                </c:ext>
              </c:extLst>
            </c:dLbl>
            <c:dLbl>
              <c:idx val="1"/>
              <c:layout>
                <c:manualLayout>
                  <c:x val="-3.95069337442219E-2"/>
                  <c:y val="-1.642951297754447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CD04-4C6C-B8EA-FD0B72679E97}"/>
                </c:ext>
              </c:extLst>
            </c:dLbl>
            <c:dLbl>
              <c:idx val="2"/>
              <c:layout>
                <c:manualLayout>
                  <c:x val="-3.9506933744221914E-2"/>
                  <c:y val="-1.93924759405074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D04-4C6C-B8EA-FD0B72679E97}"/>
                </c:ext>
              </c:extLst>
            </c:dLbl>
            <c:dLbl>
              <c:idx val="3"/>
              <c:layout>
                <c:manualLayout>
                  <c:x val="-3.1289162814586546E-2"/>
                  <c:y val="-1.050358705161854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D04-4C6C-B8EA-FD0B72679E97}"/>
                </c:ext>
              </c:extLst>
            </c:dLbl>
            <c:dLbl>
              <c:idx val="4"/>
              <c:layout>
                <c:manualLayout>
                  <c:x val="-3.539804827940421E-2"/>
                  <c:y val="-7.5405074365704561E-3"/>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8197226502311251E-2"/>
                      <c:h val="0.10100740740740739"/>
                    </c:manualLayout>
                  </c15:layout>
                </c:ext>
                <c:ext xmlns:c16="http://schemas.microsoft.com/office/drawing/2014/chart" uri="{C3380CC4-5D6E-409C-BE32-E72D297353CC}">
                  <c16:uniqueId val="{00000002-CD04-4C6C-B8EA-FD0B72679E97}"/>
                </c:ext>
              </c:extLst>
            </c:dLbl>
            <c:dLbl>
              <c:idx val="5"/>
              <c:layout>
                <c:manualLayout>
                  <c:x val="-3.1289162814586546E-2"/>
                  <c:y val="-1.34665500145815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D04-4C6C-B8EA-FD0B72679E97}"/>
                </c:ext>
              </c:extLst>
            </c:dLbl>
            <c:dLbl>
              <c:idx val="6"/>
              <c:layout>
                <c:manualLayout>
                  <c:x val="-3.1289162814586546E-2"/>
                  <c:y val="-1.34665500145815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D04-4C6C-B8EA-FD0B72679E97}"/>
                </c:ext>
              </c:extLst>
            </c:dLbl>
            <c:dLbl>
              <c:idx val="7"/>
              <c:layout>
                <c:manualLayout>
                  <c:x val="-2.9234720082177708E-2"/>
                  <c:y val="-2.235543890347045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D04-4C6C-B8EA-FD0B72679E97}"/>
                </c:ext>
              </c:extLst>
            </c:dLbl>
            <c:spPr>
              <a:noFill/>
              <a:ln>
                <a:noFill/>
              </a:ln>
              <a:effectLst/>
            </c:spPr>
            <c:txPr>
              <a:bodyPr rot="0" spcFirstLastPara="1" vertOverflow="ellipsis" vert="horz" wrap="square" anchor="ctr" anchorCtr="1"/>
              <a:lstStyle/>
              <a:p>
                <a:pPr>
                  <a:defRPr sz="1400" b="0" i="0" u="none" strike="noStrike" kern="1200" baseline="100000">
                    <a:solidFill>
                      <a:schemeClr val="tx1">
                        <a:lumMod val="75000"/>
                        <a:lumOff val="25000"/>
                      </a:schemeClr>
                    </a:solidFill>
                    <a:latin typeface="+mn-lt"/>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Monitorinq Mərkəzinin
 yaradılma tarixi -
2017-ci il 28 aprel
</c:v>
                </c:pt>
                <c:pt idx="1">
                  <c:v>Monitorinqlərin başlama tarixi -
2017-ci il 19 sentyabr
</c:v>
                </c:pt>
                <c:pt idx="2">
                  <c:v>Monitorinq Mərkəzinin yaradılmasından 
1 il sonra -
2018-ci il 28 aprel
</c:v>
                </c:pt>
                <c:pt idx="3">
                  <c:v>Monitorinqlərin başlanılmasından
1 il sonra -
2018-ci il 19 sentyabr
</c:v>
                </c:pt>
                <c:pt idx="4">
                  <c:v>Monitorinq Mərkəzinin yaradılmasından 
2 il sonra -
2019-cu il 28 aprel
</c:v>
                </c:pt>
                <c:pt idx="5">
                  <c:v>Monitorinqlərin başlanılmasından
2 il sonra -
2019-cu il 19 sentyabr
</c:v>
                </c:pt>
                <c:pt idx="6">
                  <c:v>Monitorinqlərin başlanılmasından
3 il sonra -
2020-ci il 19 sentyabr
</c:v>
                </c:pt>
                <c:pt idx="7">
                  <c:v>Monitorinqlərin başlanılmasından
4 il sonra-
2021-ci il 19 sentyabr</c:v>
                </c:pt>
                <c:pt idx="8">
                  <c:v>Monitorinqlərin başlanılmasından
5 il sonra-
2022-ci il 19 sentyabr</c:v>
                </c:pt>
              </c:strCache>
            </c:strRef>
          </c:cat>
          <c:val>
            <c:numRef>
              <c:f>Sheet1!$B$2:$B$11</c:f>
              <c:numCache>
                <c:formatCode>General</c:formatCode>
                <c:ptCount val="10"/>
                <c:pt idx="0">
                  <c:v>35</c:v>
                </c:pt>
                <c:pt idx="1">
                  <c:v>43</c:v>
                </c:pt>
                <c:pt idx="2">
                  <c:v>57</c:v>
                </c:pt>
                <c:pt idx="3">
                  <c:v>66</c:v>
                </c:pt>
                <c:pt idx="4">
                  <c:v>71</c:v>
                </c:pt>
                <c:pt idx="5">
                  <c:v>70</c:v>
                </c:pt>
                <c:pt idx="6">
                  <c:v>66</c:v>
                </c:pt>
                <c:pt idx="7">
                  <c:v>68</c:v>
                </c:pt>
                <c:pt idx="8">
                  <c:v>68</c:v>
                </c:pt>
              </c:numCache>
            </c:numRef>
          </c:val>
          <c:smooth val="1"/>
          <c:extLst>
            <c:ext xmlns:c16="http://schemas.microsoft.com/office/drawing/2014/chart" uri="{C3380CC4-5D6E-409C-BE32-E72D297353CC}">
              <c16:uniqueId val="{00000000-A063-4E3C-92FA-B1583AFC3875}"/>
            </c:ext>
          </c:extLst>
        </c:ser>
        <c:dLbls>
          <c:showLegendKey val="0"/>
          <c:showVal val="0"/>
          <c:showCatName val="0"/>
          <c:showSerName val="0"/>
          <c:showPercent val="0"/>
          <c:showBubbleSize val="0"/>
        </c:dLbls>
        <c:marker val="1"/>
        <c:smooth val="0"/>
        <c:axId val="193105152"/>
        <c:axId val="193106328"/>
      </c:lineChart>
      <c:catAx>
        <c:axId val="193105152"/>
        <c:scaling>
          <c:orientation val="minMax"/>
        </c:scaling>
        <c:delete val="0"/>
        <c:axPos val="b"/>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b" anchorCtr="0"/>
          <a:lstStyle/>
          <a:p>
            <a:pPr>
              <a:defRPr sz="1050" b="1" i="0" u="none" strike="noStrike" kern="1200" cap="none" baseline="100000">
                <a:solidFill>
                  <a:schemeClr val="tx1">
                    <a:lumMod val="65000"/>
                    <a:lumOff val="35000"/>
                  </a:schemeClr>
                </a:solidFill>
                <a:latin typeface="+mn-lt"/>
                <a:ea typeface="+mn-ea"/>
                <a:cs typeface="Arial" panose="020B0604020202020204" pitchFamily="34" charset="0"/>
              </a:defRPr>
            </a:pPr>
            <a:endParaRPr lang="en-US"/>
          </a:p>
        </c:txPr>
        <c:crossAx val="193106328"/>
        <c:crosses val="autoZero"/>
        <c:auto val="1"/>
        <c:lblAlgn val="ctr"/>
        <c:lblOffset val="400"/>
        <c:tickLblSkip val="1"/>
        <c:tickMarkSkip val="2"/>
        <c:noMultiLvlLbl val="0"/>
      </c:catAx>
      <c:valAx>
        <c:axId val="193106328"/>
        <c:scaling>
          <c:orientation val="minMax"/>
          <c:max val="80"/>
          <c:min val="29"/>
        </c:scaling>
        <c:delete val="0"/>
        <c:axPos val="l"/>
        <c:minorGridlines>
          <c:spPr>
            <a:ln w="0" cap="rnd" cmpd="sng" algn="ctr">
              <a:solidFill>
                <a:srgbClr val="E9E9E9"/>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100000">
                <a:solidFill>
                  <a:schemeClr val="tx1">
                    <a:lumMod val="65000"/>
                    <a:lumOff val="35000"/>
                  </a:schemeClr>
                </a:solidFill>
                <a:latin typeface="+mn-lt"/>
                <a:ea typeface="+mn-ea"/>
                <a:cs typeface="Arial" panose="020B0604020202020204" pitchFamily="34" charset="0"/>
              </a:defRPr>
            </a:pPr>
            <a:endParaRPr lang="en-US"/>
          </a:p>
        </c:txPr>
        <c:crossAx val="193105152"/>
        <c:crosses val="autoZero"/>
        <c:crossBetween val="midCat"/>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aseline="100000">
          <a:latin typeface="+mn-lt"/>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Nəriman Qasımov</dc:creator>
  <cp:keywords/>
  <dc:description/>
  <cp:lastModifiedBy>Elxan Abdullayev</cp:lastModifiedBy>
  <cp:revision>7</cp:revision>
  <dcterms:created xsi:type="dcterms:W3CDTF">2022-12-21T12:38:00Z</dcterms:created>
  <dcterms:modified xsi:type="dcterms:W3CDTF">2023-06-05T05:21:00Z</dcterms:modified>
</cp:coreProperties>
</file>